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8C" w:rsidRPr="005D248C" w:rsidRDefault="00E34062" w:rsidP="005D248C">
      <w:pPr>
        <w:spacing w:line="240" w:lineRule="auto"/>
        <w:jc w:val="center"/>
        <w:rPr>
          <w:rFonts w:eastAsia="Times New Roman"/>
          <w:b/>
          <w:sz w:val="28"/>
          <w:szCs w:val="24"/>
          <w:lang w:eastAsia="hu-HU"/>
        </w:rPr>
      </w:pPr>
      <w:r>
        <w:rPr>
          <w:rFonts w:eastAsia="Times New Roman"/>
          <w:b/>
          <w:sz w:val="28"/>
          <w:szCs w:val="24"/>
          <w:lang w:eastAsia="hu-HU"/>
        </w:rPr>
        <w:t>NEMZETKÖZI KREDITMOBILITÁS 201</w:t>
      </w:r>
      <w:r w:rsidR="00E71BFC">
        <w:rPr>
          <w:rFonts w:eastAsia="Times New Roman"/>
          <w:b/>
          <w:sz w:val="28"/>
          <w:szCs w:val="24"/>
          <w:lang w:eastAsia="hu-HU"/>
        </w:rPr>
        <w:t>8</w:t>
      </w:r>
      <w:r w:rsidR="005D248C" w:rsidRPr="005D248C">
        <w:rPr>
          <w:rFonts w:eastAsia="Times New Roman"/>
          <w:b/>
          <w:sz w:val="28"/>
          <w:szCs w:val="24"/>
          <w:lang w:eastAsia="hu-HU"/>
        </w:rPr>
        <w:t>.</w:t>
      </w:r>
    </w:p>
    <w:p w:rsidR="005D248C" w:rsidRDefault="005D248C" w:rsidP="005D248C">
      <w:pPr>
        <w:spacing w:line="240" w:lineRule="auto"/>
        <w:rPr>
          <w:rFonts w:eastAsia="Times New Roman"/>
          <w:szCs w:val="24"/>
          <w:lang w:eastAsia="hu-HU"/>
        </w:rPr>
      </w:pPr>
    </w:p>
    <w:p w:rsidR="005D248C" w:rsidRPr="005D248C" w:rsidRDefault="00E34062" w:rsidP="00E71BFC">
      <w:pPr>
        <w:spacing w:line="240" w:lineRule="auto"/>
        <w:jc w:val="both"/>
        <w:rPr>
          <w:rFonts w:eastAsia="Times New Roman"/>
          <w:szCs w:val="24"/>
          <w:lang w:eastAsia="hu-HU"/>
        </w:rPr>
      </w:pPr>
      <w:r>
        <w:rPr>
          <w:rFonts w:eastAsia="Times New Roman"/>
          <w:szCs w:val="24"/>
          <w:lang w:eastAsia="hu-HU"/>
        </w:rPr>
        <w:t>A 201</w:t>
      </w:r>
      <w:r w:rsidR="00E71BFC">
        <w:rPr>
          <w:rFonts w:eastAsia="Times New Roman"/>
          <w:szCs w:val="24"/>
          <w:lang w:eastAsia="hu-HU"/>
        </w:rPr>
        <w:t>8-a</w:t>
      </w:r>
      <w:r w:rsidR="005D248C" w:rsidRPr="005D248C">
        <w:rPr>
          <w:rFonts w:eastAsia="Times New Roman"/>
          <w:szCs w:val="24"/>
          <w:lang w:eastAsia="hu-HU"/>
        </w:rPr>
        <w:t>s tanévben az ECHE tulajdonos hazai felsőoktatási intézmények ismét pályázhatnak a partnerországok felsőoktatási intézményeivel megvalósítandó mobilitási tevékenységekre az Erasmus+ programban, az úgynevezett nemzetközi kreditmobilitás keretében.</w:t>
      </w:r>
    </w:p>
    <w:p w:rsidR="005D248C" w:rsidRDefault="005D248C" w:rsidP="005D248C">
      <w:pPr>
        <w:spacing w:line="240" w:lineRule="auto"/>
        <w:rPr>
          <w:rFonts w:eastAsia="Times New Roman"/>
          <w:b/>
          <w:bCs/>
          <w:szCs w:val="24"/>
          <w:lang w:eastAsia="hu-HU"/>
        </w:rPr>
      </w:pPr>
    </w:p>
    <w:p w:rsidR="005D248C" w:rsidRPr="005D248C" w:rsidRDefault="005D248C" w:rsidP="005D248C">
      <w:pPr>
        <w:spacing w:line="240" w:lineRule="auto"/>
        <w:rPr>
          <w:rFonts w:eastAsia="Times New Roman"/>
          <w:szCs w:val="24"/>
          <w:lang w:eastAsia="hu-HU"/>
        </w:rPr>
      </w:pPr>
      <w:r w:rsidRPr="005D248C">
        <w:rPr>
          <w:rFonts w:eastAsia="Times New Roman"/>
          <w:b/>
          <w:bCs/>
          <w:szCs w:val="24"/>
          <w:lang w:eastAsia="hu-HU"/>
        </w:rPr>
        <w:t>201</w:t>
      </w:r>
      <w:r w:rsidR="00205A17">
        <w:rPr>
          <w:rFonts w:eastAsia="Times New Roman"/>
          <w:b/>
          <w:bCs/>
          <w:szCs w:val="24"/>
          <w:lang w:eastAsia="hu-HU"/>
        </w:rPr>
        <w:t>7</w:t>
      </w:r>
      <w:r w:rsidRPr="005D248C">
        <w:rPr>
          <w:rFonts w:eastAsia="Times New Roman"/>
          <w:b/>
          <w:bCs/>
          <w:szCs w:val="24"/>
          <w:lang w:eastAsia="hu-HU"/>
        </w:rPr>
        <w:t>. ÉVI PÁLYÁZATI TUDNIVALÓK</w:t>
      </w:r>
    </w:p>
    <w:p w:rsidR="005D248C" w:rsidRPr="005D248C" w:rsidRDefault="005D248C" w:rsidP="005D248C">
      <w:pPr>
        <w:spacing w:line="240" w:lineRule="auto"/>
        <w:rPr>
          <w:rFonts w:eastAsia="Times New Roman"/>
          <w:szCs w:val="24"/>
          <w:lang w:eastAsia="hu-HU"/>
        </w:rPr>
      </w:pPr>
      <w:r w:rsidRPr="005D248C">
        <w:rPr>
          <w:rFonts w:eastAsia="Times New Roman"/>
          <w:szCs w:val="24"/>
          <w:lang w:eastAsia="hu-HU"/>
        </w:rPr>
        <w:t>  </w:t>
      </w:r>
    </w:p>
    <w:p w:rsidR="005D248C" w:rsidRPr="005D248C" w:rsidRDefault="00E567EA" w:rsidP="005D248C">
      <w:pPr>
        <w:spacing w:line="240" w:lineRule="auto"/>
        <w:rPr>
          <w:rFonts w:eastAsia="Times New Roman"/>
          <w:szCs w:val="24"/>
          <w:lang w:eastAsia="hu-HU"/>
        </w:rPr>
      </w:pPr>
      <w:r>
        <w:rPr>
          <w:rFonts w:eastAsia="Times New Roman"/>
          <w:b/>
          <w:bCs/>
          <w:szCs w:val="24"/>
          <w:lang w:eastAsia="hu-HU"/>
        </w:rPr>
        <w:t>1</w:t>
      </w:r>
      <w:r w:rsidR="005D248C" w:rsidRPr="005D248C">
        <w:rPr>
          <w:rFonts w:eastAsia="Times New Roman"/>
          <w:b/>
          <w:bCs/>
          <w:szCs w:val="24"/>
          <w:lang w:eastAsia="hu-HU"/>
        </w:rPr>
        <w:t>. A programban részt vevő országok</w:t>
      </w:r>
    </w:p>
    <w:p w:rsidR="00205A17" w:rsidRPr="00205A17" w:rsidRDefault="00205A17" w:rsidP="00205A17">
      <w:pPr>
        <w:spacing w:line="240" w:lineRule="auto"/>
        <w:jc w:val="both"/>
        <w:rPr>
          <w:rFonts w:eastAsia="Times New Roman"/>
          <w:szCs w:val="24"/>
          <w:lang w:eastAsia="hu-HU"/>
        </w:rPr>
      </w:pPr>
      <w:r w:rsidRPr="00205A17">
        <w:rPr>
          <w:rFonts w:eastAsia="Times New Roman"/>
          <w:szCs w:val="24"/>
          <w:lang w:eastAsia="hu-HU"/>
        </w:rPr>
        <w:t>A nemzetközi kreditmobilitás keretében a programországok és a partnerországok közötti mobilitási tevékenységek megvalósítása támogatható. A pályázatot minden esetben a programország felsőoktatási intézményének kell benyújtania.</w:t>
      </w:r>
    </w:p>
    <w:p w:rsidR="00205A17" w:rsidRPr="00205A17" w:rsidRDefault="00205A17" w:rsidP="00205A17">
      <w:pPr>
        <w:spacing w:line="240" w:lineRule="auto"/>
        <w:jc w:val="both"/>
        <w:rPr>
          <w:rFonts w:eastAsia="Times New Roman"/>
          <w:szCs w:val="24"/>
          <w:lang w:eastAsia="hu-HU"/>
        </w:rPr>
      </w:pPr>
      <w:r w:rsidRPr="00205A17">
        <w:rPr>
          <w:rFonts w:eastAsia="Times New Roman"/>
          <w:b/>
          <w:bCs/>
          <w:szCs w:val="24"/>
          <w:lang w:eastAsia="hu-HU"/>
        </w:rPr>
        <w:t>Programországok:</w:t>
      </w:r>
    </w:p>
    <w:p w:rsidR="00205A17" w:rsidRPr="00205A17" w:rsidRDefault="00205A17" w:rsidP="00205A17">
      <w:pPr>
        <w:spacing w:line="240" w:lineRule="auto"/>
        <w:jc w:val="both"/>
        <w:rPr>
          <w:rFonts w:eastAsia="Times New Roman"/>
          <w:szCs w:val="24"/>
          <w:lang w:eastAsia="hu-HU"/>
        </w:rPr>
      </w:pPr>
      <w:r w:rsidRPr="00205A17">
        <w:rPr>
          <w:rFonts w:eastAsia="Times New Roman"/>
          <w:szCs w:val="24"/>
          <w:lang w:eastAsia="hu-HU"/>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205A17" w:rsidRPr="00205A17" w:rsidRDefault="00205A17" w:rsidP="00205A17">
      <w:pPr>
        <w:spacing w:line="240" w:lineRule="auto"/>
        <w:jc w:val="both"/>
        <w:rPr>
          <w:rFonts w:eastAsia="Times New Roman"/>
          <w:szCs w:val="24"/>
          <w:lang w:eastAsia="hu-HU"/>
        </w:rPr>
      </w:pPr>
      <w:r w:rsidRPr="00205A17">
        <w:rPr>
          <w:rFonts w:eastAsia="Times New Roman"/>
          <w:szCs w:val="24"/>
          <w:lang w:eastAsia="hu-HU"/>
        </w:rPr>
        <w:t>Nem EU tagállamként a programban szintén részt vesz: Macedónia Volt Jugoszláv Köztársaság, Izland, Liechtenstein, Norvégia, Törökország</w:t>
      </w:r>
    </w:p>
    <w:p w:rsidR="00205A17" w:rsidRPr="00205A17" w:rsidRDefault="00205A17" w:rsidP="00205A17">
      <w:pPr>
        <w:spacing w:line="240" w:lineRule="auto"/>
        <w:jc w:val="both"/>
        <w:rPr>
          <w:rFonts w:eastAsia="Times New Roman"/>
          <w:szCs w:val="24"/>
          <w:lang w:eastAsia="hu-HU"/>
        </w:rPr>
      </w:pPr>
      <w:r w:rsidRPr="00205A17">
        <w:rPr>
          <w:rFonts w:eastAsia="Times New Roman"/>
          <w:b/>
          <w:bCs/>
          <w:szCs w:val="24"/>
          <w:lang w:eastAsia="hu-HU"/>
        </w:rPr>
        <w:t>Partnerországok:</w:t>
      </w:r>
    </w:p>
    <w:p w:rsidR="00623688" w:rsidRDefault="00205A17" w:rsidP="00623688">
      <w:pPr>
        <w:spacing w:line="240" w:lineRule="auto"/>
        <w:jc w:val="both"/>
        <w:rPr>
          <w:rFonts w:eastAsia="Times New Roman"/>
          <w:szCs w:val="24"/>
          <w:lang w:eastAsia="hu-HU"/>
        </w:rPr>
      </w:pPr>
      <w:r w:rsidRPr="00205A17">
        <w:rPr>
          <w:rFonts w:eastAsia="Times New Roman"/>
          <w:szCs w:val="24"/>
          <w:lang w:eastAsia="hu-HU"/>
        </w:rPr>
        <w:t xml:space="preserve">A költségvetési sorok szerint felhasználható keretösszegek (kerekítve) és az általuk lefedett országok a lenti táblázatban szerepelnek. A pályázásra jogosult felsőoktatási intézmények a </w:t>
      </w:r>
      <w:r w:rsidRPr="009759DF">
        <w:rPr>
          <w:rFonts w:eastAsia="Times New Roman"/>
          <w:szCs w:val="24"/>
          <w:lang w:eastAsia="hu-HU"/>
        </w:rPr>
        <w:t>2017. évi pályázatok</w:t>
      </w:r>
      <w:r w:rsidRPr="00205A17">
        <w:rPr>
          <w:rFonts w:eastAsia="Times New Roman"/>
          <w:szCs w:val="24"/>
          <w:lang w:eastAsia="hu-HU"/>
        </w:rPr>
        <w:t xml:space="preserve"> során csak az alábbi partnerországok felsőoktatási intézményeivel megvalósítandó mobilitásokra pályázhatnak.</w:t>
      </w:r>
    </w:p>
    <w:p w:rsidR="005D248C" w:rsidRPr="005D248C" w:rsidRDefault="00623688" w:rsidP="00E567EA">
      <w:pPr>
        <w:rPr>
          <w:rFonts w:eastAsia="Times New Roman"/>
          <w:szCs w:val="24"/>
          <w:lang w:eastAsia="hu-HU"/>
        </w:rPr>
      </w:pPr>
      <w:r>
        <w:rPr>
          <w:rFonts w:eastAsia="Times New Roman"/>
          <w:szCs w:val="24"/>
          <w:lang w:eastAsia="hu-HU"/>
        </w:rPr>
        <w:br w:type="page"/>
      </w:r>
    </w:p>
    <w:tbl>
      <w:tblPr>
        <w:tblpPr w:leftFromText="141" w:rightFromText="141" w:horzAnchor="margin" w:tblpXSpec="center" w:tblpY="-280"/>
        <w:tblW w:w="1068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56"/>
        <w:gridCol w:w="6379"/>
        <w:gridCol w:w="1134"/>
        <w:gridCol w:w="1418"/>
      </w:tblGrid>
      <w:tr w:rsidR="006C47EA" w:rsidRPr="005D248C" w:rsidTr="006C47EA">
        <w:trPr>
          <w:tblCellSpacing w:w="15" w:type="dxa"/>
        </w:trPr>
        <w:tc>
          <w:tcPr>
            <w:tcW w:w="1711" w:type="dxa"/>
            <w:vAlign w:val="center"/>
            <w:hideMark/>
          </w:tcPr>
          <w:p w:rsidR="006C47EA" w:rsidRPr="005D248C" w:rsidRDefault="006C47EA" w:rsidP="006C47EA">
            <w:pPr>
              <w:spacing w:line="240" w:lineRule="auto"/>
              <w:jc w:val="center"/>
              <w:rPr>
                <w:rFonts w:eastAsia="Times New Roman"/>
                <w:szCs w:val="24"/>
                <w:lang w:eastAsia="hu-HU"/>
              </w:rPr>
            </w:pPr>
            <w:r w:rsidRPr="005D248C">
              <w:rPr>
                <w:rFonts w:eastAsia="Times New Roman"/>
                <w:b/>
                <w:bCs/>
                <w:szCs w:val="24"/>
                <w:lang w:eastAsia="hu-HU"/>
              </w:rPr>
              <w:lastRenderedPageBreak/>
              <w:t>Országcsoport</w:t>
            </w:r>
          </w:p>
        </w:tc>
        <w:tc>
          <w:tcPr>
            <w:tcW w:w="6349" w:type="dxa"/>
            <w:vAlign w:val="center"/>
            <w:hideMark/>
          </w:tcPr>
          <w:p w:rsidR="006C47EA" w:rsidRPr="005D248C" w:rsidRDefault="006C47EA" w:rsidP="006C47EA">
            <w:pPr>
              <w:spacing w:line="240" w:lineRule="auto"/>
              <w:jc w:val="center"/>
              <w:rPr>
                <w:rFonts w:eastAsia="Times New Roman"/>
                <w:szCs w:val="24"/>
                <w:lang w:eastAsia="hu-HU"/>
              </w:rPr>
            </w:pPr>
            <w:r w:rsidRPr="005D248C">
              <w:rPr>
                <w:rFonts w:eastAsia="Times New Roman"/>
                <w:b/>
                <w:bCs/>
                <w:szCs w:val="24"/>
                <w:lang w:eastAsia="hu-HU"/>
              </w:rPr>
              <w:t>Országok</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5D248C">
              <w:rPr>
                <w:rFonts w:eastAsia="Times New Roman"/>
                <w:b/>
                <w:bCs/>
                <w:szCs w:val="24"/>
                <w:lang w:eastAsia="hu-HU"/>
              </w:rPr>
              <w:t>HU keret 201</w:t>
            </w:r>
            <w:r>
              <w:rPr>
                <w:rFonts w:eastAsia="Times New Roman"/>
                <w:b/>
                <w:bCs/>
                <w:szCs w:val="24"/>
                <w:lang w:eastAsia="hu-HU"/>
              </w:rPr>
              <w:t>7</w:t>
            </w:r>
          </w:p>
        </w:tc>
        <w:tc>
          <w:tcPr>
            <w:tcW w:w="1373" w:type="dxa"/>
          </w:tcPr>
          <w:p w:rsidR="006C47EA" w:rsidRDefault="006C47EA" w:rsidP="006C47EA">
            <w:pPr>
              <w:spacing w:line="240" w:lineRule="auto"/>
              <w:jc w:val="center"/>
              <w:rPr>
                <w:rFonts w:eastAsia="Times New Roman"/>
                <w:b/>
                <w:bCs/>
                <w:szCs w:val="24"/>
                <w:lang w:eastAsia="hu-HU"/>
              </w:rPr>
            </w:pPr>
            <w:r>
              <w:rPr>
                <w:rFonts w:eastAsia="Times New Roman"/>
                <w:b/>
                <w:bCs/>
                <w:szCs w:val="24"/>
                <w:lang w:eastAsia="hu-HU"/>
              </w:rPr>
              <w:t>Támogatási igény/keret</w:t>
            </w:r>
          </w:p>
          <w:p w:rsidR="006C47EA" w:rsidRPr="005D248C" w:rsidRDefault="006C47EA" w:rsidP="006C47EA">
            <w:pPr>
              <w:spacing w:line="240" w:lineRule="auto"/>
              <w:jc w:val="center"/>
              <w:rPr>
                <w:rFonts w:eastAsia="Times New Roman"/>
                <w:b/>
                <w:bCs/>
                <w:szCs w:val="24"/>
                <w:lang w:eastAsia="hu-HU"/>
              </w:rPr>
            </w:pPr>
            <w:r>
              <w:rPr>
                <w:rFonts w:eastAsia="Times New Roman"/>
                <w:b/>
                <w:bCs/>
                <w:szCs w:val="24"/>
                <w:lang w:eastAsia="hu-HU"/>
              </w:rPr>
              <w:t>2017</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205A17">
              <w:rPr>
                <w:rFonts w:eastAsia="Times New Roman"/>
                <w:szCs w:val="24"/>
                <w:lang w:eastAsia="hu-HU"/>
              </w:rPr>
              <w:t>ENI South-Mediterranean</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Algéria, Egyiptom, Izrael, Jordánia, Libanon, Líbia, Marokkó, Palesztina, Szíria, Tunézia</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205A17">
              <w:rPr>
                <w:rFonts w:eastAsia="Times New Roman"/>
                <w:szCs w:val="24"/>
                <w:lang w:eastAsia="hu-HU"/>
              </w:rPr>
              <w:t>605.485€</w:t>
            </w:r>
          </w:p>
        </w:tc>
        <w:tc>
          <w:tcPr>
            <w:tcW w:w="1373" w:type="dxa"/>
            <w:vAlign w:val="center"/>
          </w:tcPr>
          <w:p w:rsidR="006C47EA" w:rsidRPr="00205A17" w:rsidRDefault="006C47EA" w:rsidP="006C47EA">
            <w:pPr>
              <w:spacing w:line="240" w:lineRule="auto"/>
              <w:jc w:val="center"/>
              <w:rPr>
                <w:rFonts w:eastAsia="Times New Roman"/>
                <w:szCs w:val="24"/>
                <w:lang w:eastAsia="hu-HU"/>
              </w:rPr>
            </w:pPr>
            <w:r>
              <w:rPr>
                <w:rFonts w:eastAsia="Times New Roman"/>
                <w:szCs w:val="24"/>
                <w:lang w:eastAsia="hu-HU"/>
              </w:rPr>
              <w:t>120%</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ENI Eastern Partnership</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Örményország, Azerbajdzsán, Fehéroroszország, Grúzia, Moldova, Ukrajna területe a nemzetközi jog szerint</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205A17">
              <w:rPr>
                <w:rFonts w:eastAsia="Times New Roman"/>
                <w:szCs w:val="24"/>
                <w:lang w:eastAsia="hu-HU"/>
              </w:rPr>
              <w:t>457.336€</w:t>
            </w:r>
          </w:p>
        </w:tc>
        <w:tc>
          <w:tcPr>
            <w:tcW w:w="1373" w:type="dxa"/>
            <w:vAlign w:val="center"/>
          </w:tcPr>
          <w:p w:rsidR="006C47EA" w:rsidRPr="00205A17" w:rsidRDefault="006C47EA" w:rsidP="006C47EA">
            <w:pPr>
              <w:spacing w:line="240" w:lineRule="auto"/>
              <w:jc w:val="center"/>
              <w:rPr>
                <w:rFonts w:eastAsia="Times New Roman"/>
                <w:szCs w:val="24"/>
                <w:lang w:eastAsia="hu-HU"/>
              </w:rPr>
            </w:pPr>
            <w:r>
              <w:rPr>
                <w:rFonts w:eastAsia="Times New Roman"/>
                <w:szCs w:val="24"/>
                <w:lang w:eastAsia="hu-HU"/>
              </w:rPr>
              <w:t>236%</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ENI Russia Federation</w:t>
            </w:r>
          </w:p>
        </w:tc>
        <w:tc>
          <w:tcPr>
            <w:tcW w:w="6349" w:type="dxa"/>
            <w:vAlign w:val="center"/>
            <w:hideMark/>
          </w:tcPr>
          <w:p w:rsidR="006C47EA" w:rsidRPr="008513D8" w:rsidRDefault="006C47EA" w:rsidP="006C47EA">
            <w:pPr>
              <w:spacing w:line="240" w:lineRule="auto"/>
              <w:jc w:val="both"/>
              <w:rPr>
                <w:rFonts w:eastAsia="Times New Roman"/>
                <w:sz w:val="22"/>
                <w:szCs w:val="24"/>
                <w:lang w:eastAsia="hu-HU"/>
              </w:rPr>
            </w:pPr>
            <w:r w:rsidRPr="008513D8">
              <w:rPr>
                <w:rFonts w:eastAsia="Times New Roman"/>
                <w:sz w:val="22"/>
                <w:szCs w:val="24"/>
                <w:lang w:eastAsia="hu-HU"/>
              </w:rPr>
              <w:t>Oroszország területe a nemzetközi jog szerint</w:t>
            </w:r>
          </w:p>
          <w:p w:rsidR="006C47EA" w:rsidRPr="008513D8" w:rsidRDefault="006C47EA" w:rsidP="006C47EA">
            <w:pPr>
              <w:spacing w:line="240" w:lineRule="auto"/>
              <w:jc w:val="both"/>
              <w:rPr>
                <w:rFonts w:eastAsia="Times New Roman"/>
                <w:sz w:val="22"/>
                <w:szCs w:val="24"/>
                <w:lang w:eastAsia="hu-HU"/>
              </w:rPr>
            </w:pPr>
            <w:r w:rsidRPr="008513D8">
              <w:rPr>
                <w:rFonts w:eastAsia="Times New Roman"/>
                <w:sz w:val="22"/>
                <w:szCs w:val="24"/>
                <w:lang w:eastAsia="hu-HU"/>
              </w:rPr>
              <w:t>*Oroszország számára az ENI és PI eszköz keretén belül is rendelkezésre áll bizonyos összeg. A könnyebb érthetőség kedvéért a teljes összeg az ENI Russian Federation borítékban van feltűntetve.</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205A17">
              <w:rPr>
                <w:rFonts w:eastAsia="Times New Roman"/>
                <w:szCs w:val="24"/>
                <w:lang w:eastAsia="hu-HU"/>
              </w:rPr>
              <w:t>286.872€</w:t>
            </w:r>
          </w:p>
        </w:tc>
        <w:tc>
          <w:tcPr>
            <w:tcW w:w="1373" w:type="dxa"/>
            <w:vAlign w:val="center"/>
          </w:tcPr>
          <w:p w:rsidR="006C47EA" w:rsidRPr="00205A17" w:rsidRDefault="006C47EA" w:rsidP="006C47EA">
            <w:pPr>
              <w:spacing w:line="240" w:lineRule="auto"/>
              <w:jc w:val="center"/>
              <w:rPr>
                <w:rFonts w:eastAsia="Times New Roman"/>
                <w:szCs w:val="24"/>
                <w:lang w:eastAsia="hu-HU"/>
              </w:rPr>
            </w:pPr>
            <w:r>
              <w:rPr>
                <w:rFonts w:eastAsia="Times New Roman"/>
                <w:szCs w:val="24"/>
                <w:lang w:eastAsia="hu-HU"/>
              </w:rPr>
              <w:t>444%</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DCI Latin America</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Argentína, Bolívia, Brazíla, Chile, Columbia, Costa Rica, Kuba, Ecuador, El Salvador, Guatemala, Honduras, Mexikó, Nicaragua, Panama, Paraguay, Peru, Uruguay, Venezuela</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205A17">
              <w:rPr>
                <w:rFonts w:eastAsia="Times New Roman"/>
                <w:szCs w:val="24"/>
                <w:lang w:eastAsia="hu-HU"/>
              </w:rPr>
              <w:t>129.424€</w:t>
            </w:r>
          </w:p>
        </w:tc>
        <w:tc>
          <w:tcPr>
            <w:tcW w:w="1373" w:type="dxa"/>
            <w:vAlign w:val="center"/>
          </w:tcPr>
          <w:p w:rsidR="006C47EA" w:rsidRPr="00205A17" w:rsidRDefault="00A30103" w:rsidP="006C47EA">
            <w:pPr>
              <w:spacing w:line="240" w:lineRule="auto"/>
              <w:jc w:val="center"/>
              <w:rPr>
                <w:rFonts w:eastAsia="Times New Roman"/>
                <w:szCs w:val="24"/>
                <w:lang w:eastAsia="hu-HU"/>
              </w:rPr>
            </w:pPr>
            <w:r>
              <w:rPr>
                <w:rFonts w:eastAsia="Times New Roman"/>
                <w:szCs w:val="24"/>
                <w:lang w:eastAsia="hu-HU"/>
              </w:rPr>
              <w:t>618%</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DCI Asia</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Afganisztán, Banglades, Bhután, Kambodzsa, Kína, DPR Korea, India, Indonézia, Laosz, Malajzia, Maldív-szigetek, Mongólia, Mianmar, Nepál, Pakisztán, Fülöp-szigetek, Srí Lanka, Thaiföld, Vietnám</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205A17">
              <w:rPr>
                <w:rFonts w:eastAsia="Times New Roman"/>
                <w:szCs w:val="24"/>
                <w:lang w:eastAsia="hu-HU"/>
              </w:rPr>
              <w:t>397.979€</w:t>
            </w:r>
          </w:p>
        </w:tc>
        <w:tc>
          <w:tcPr>
            <w:tcW w:w="1373" w:type="dxa"/>
            <w:vAlign w:val="center"/>
          </w:tcPr>
          <w:p w:rsidR="006C47EA" w:rsidRPr="00205A17" w:rsidRDefault="006C47EA" w:rsidP="006C47EA">
            <w:pPr>
              <w:spacing w:line="240" w:lineRule="auto"/>
              <w:jc w:val="center"/>
              <w:rPr>
                <w:rFonts w:eastAsia="Times New Roman"/>
                <w:szCs w:val="24"/>
                <w:lang w:eastAsia="hu-HU"/>
              </w:rPr>
            </w:pPr>
            <w:r>
              <w:rPr>
                <w:rFonts w:eastAsia="Times New Roman"/>
                <w:szCs w:val="24"/>
                <w:lang w:eastAsia="hu-HU"/>
              </w:rPr>
              <w:t>471%</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DCI Central Asia</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Kazahsztán, Kirgizisztán, Tádzsikisztán, Türkmenisztán, Üzbegisztán</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205A17">
              <w:rPr>
                <w:rFonts w:eastAsia="Times New Roman"/>
                <w:szCs w:val="24"/>
                <w:lang w:eastAsia="hu-HU"/>
              </w:rPr>
              <w:t>111.952€</w:t>
            </w:r>
          </w:p>
        </w:tc>
        <w:tc>
          <w:tcPr>
            <w:tcW w:w="1373" w:type="dxa"/>
            <w:vAlign w:val="center"/>
          </w:tcPr>
          <w:p w:rsidR="006C47EA" w:rsidRPr="00205A17" w:rsidRDefault="006C47EA" w:rsidP="006C47EA">
            <w:pPr>
              <w:spacing w:line="240" w:lineRule="auto"/>
              <w:jc w:val="center"/>
              <w:rPr>
                <w:rFonts w:eastAsia="Times New Roman"/>
                <w:szCs w:val="24"/>
                <w:lang w:eastAsia="hu-HU"/>
              </w:rPr>
            </w:pPr>
            <w:r>
              <w:rPr>
                <w:rFonts w:eastAsia="Times New Roman"/>
                <w:szCs w:val="24"/>
                <w:lang w:eastAsia="hu-HU"/>
              </w:rPr>
              <w:t>298%</w:t>
            </w:r>
          </w:p>
        </w:tc>
      </w:tr>
      <w:tr w:rsidR="006C47EA" w:rsidRPr="005D248C" w:rsidTr="006C47EA">
        <w:trPr>
          <w:tblCellSpacing w:w="15" w:type="dxa"/>
        </w:trPr>
        <w:tc>
          <w:tcPr>
            <w:tcW w:w="1711" w:type="dxa"/>
            <w:vAlign w:val="center"/>
          </w:tcPr>
          <w:p w:rsidR="006C47EA" w:rsidRPr="005D248C" w:rsidRDefault="006C47EA" w:rsidP="006C47EA">
            <w:pPr>
              <w:spacing w:line="240" w:lineRule="auto"/>
              <w:rPr>
                <w:rFonts w:eastAsia="Times New Roman"/>
                <w:szCs w:val="24"/>
                <w:lang w:eastAsia="hu-HU"/>
              </w:rPr>
            </w:pPr>
            <w:r>
              <w:rPr>
                <w:rFonts w:eastAsia="Times New Roman"/>
                <w:szCs w:val="24"/>
                <w:lang w:eastAsia="hu-HU"/>
              </w:rPr>
              <w:t>DCU Middle East</w:t>
            </w:r>
          </w:p>
        </w:tc>
        <w:tc>
          <w:tcPr>
            <w:tcW w:w="6349" w:type="dxa"/>
            <w:vAlign w:val="center"/>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Irak, Irán, Jemen</w:t>
            </w:r>
          </w:p>
        </w:tc>
        <w:tc>
          <w:tcPr>
            <w:tcW w:w="1104" w:type="dxa"/>
            <w:vAlign w:val="center"/>
          </w:tcPr>
          <w:p w:rsidR="006C47EA" w:rsidRPr="005D248C" w:rsidRDefault="006C47EA" w:rsidP="006C47EA">
            <w:pPr>
              <w:spacing w:line="240" w:lineRule="auto"/>
              <w:jc w:val="center"/>
              <w:rPr>
                <w:rFonts w:eastAsia="Times New Roman"/>
                <w:szCs w:val="24"/>
                <w:lang w:eastAsia="hu-HU"/>
              </w:rPr>
            </w:pPr>
            <w:r w:rsidRPr="009915B7">
              <w:rPr>
                <w:rFonts w:eastAsia="Times New Roman"/>
                <w:szCs w:val="24"/>
                <w:lang w:eastAsia="hu-HU"/>
              </w:rPr>
              <w:t>55.117 €</w:t>
            </w:r>
          </w:p>
        </w:tc>
        <w:tc>
          <w:tcPr>
            <w:tcW w:w="1373" w:type="dxa"/>
            <w:vAlign w:val="center"/>
          </w:tcPr>
          <w:p w:rsidR="006C47EA" w:rsidRPr="009915B7" w:rsidRDefault="00A30103" w:rsidP="006C47EA">
            <w:pPr>
              <w:spacing w:line="240" w:lineRule="auto"/>
              <w:jc w:val="center"/>
              <w:rPr>
                <w:rFonts w:eastAsia="Times New Roman"/>
                <w:szCs w:val="24"/>
                <w:lang w:eastAsia="hu-HU"/>
              </w:rPr>
            </w:pPr>
            <w:r>
              <w:rPr>
                <w:rFonts w:eastAsia="Times New Roman"/>
                <w:szCs w:val="24"/>
                <w:lang w:eastAsia="hu-HU"/>
              </w:rPr>
              <w:t>87%</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DCI South Africa</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Dél-Afrika</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9915B7">
              <w:rPr>
                <w:rFonts w:eastAsia="Times New Roman"/>
                <w:szCs w:val="24"/>
                <w:lang w:eastAsia="hu-HU"/>
              </w:rPr>
              <w:t>36.239€</w:t>
            </w:r>
          </w:p>
        </w:tc>
        <w:tc>
          <w:tcPr>
            <w:tcW w:w="1373" w:type="dxa"/>
            <w:vAlign w:val="center"/>
          </w:tcPr>
          <w:p w:rsidR="006C47EA" w:rsidRPr="009915B7" w:rsidRDefault="00A30103" w:rsidP="006C47EA">
            <w:pPr>
              <w:spacing w:line="240" w:lineRule="auto"/>
              <w:jc w:val="center"/>
              <w:rPr>
                <w:rFonts w:eastAsia="Times New Roman"/>
                <w:szCs w:val="24"/>
                <w:lang w:eastAsia="hu-HU"/>
              </w:rPr>
            </w:pPr>
            <w:r>
              <w:rPr>
                <w:rFonts w:eastAsia="Times New Roman"/>
                <w:szCs w:val="24"/>
                <w:lang w:eastAsia="hu-HU"/>
              </w:rPr>
              <w:t>196%</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IPA Western Balkans</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Albánia, Bosznia-Hercegovina, Koszovó, Montenegró, Szerbia</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9915B7">
              <w:rPr>
                <w:rFonts w:eastAsia="Times New Roman"/>
                <w:szCs w:val="24"/>
                <w:lang w:eastAsia="hu-HU"/>
              </w:rPr>
              <w:t>522.187€</w:t>
            </w:r>
          </w:p>
        </w:tc>
        <w:tc>
          <w:tcPr>
            <w:tcW w:w="1373" w:type="dxa"/>
            <w:vAlign w:val="center"/>
          </w:tcPr>
          <w:p w:rsidR="006C47EA" w:rsidRPr="009915B7" w:rsidRDefault="006C47EA" w:rsidP="006C47EA">
            <w:pPr>
              <w:spacing w:line="240" w:lineRule="auto"/>
              <w:jc w:val="center"/>
              <w:rPr>
                <w:rFonts w:eastAsia="Times New Roman"/>
                <w:szCs w:val="24"/>
                <w:lang w:eastAsia="hu-HU"/>
              </w:rPr>
            </w:pPr>
            <w:r>
              <w:rPr>
                <w:rFonts w:eastAsia="Times New Roman"/>
                <w:szCs w:val="24"/>
                <w:lang w:eastAsia="hu-HU"/>
              </w:rPr>
              <w:t>128%</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PI Industrialised Americas</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USA, Kanada</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9915B7">
              <w:rPr>
                <w:rFonts w:eastAsia="Times New Roman"/>
                <w:szCs w:val="24"/>
                <w:lang w:eastAsia="hu-HU"/>
              </w:rPr>
              <w:t>129.556€</w:t>
            </w:r>
          </w:p>
        </w:tc>
        <w:tc>
          <w:tcPr>
            <w:tcW w:w="1373" w:type="dxa"/>
            <w:vAlign w:val="center"/>
          </w:tcPr>
          <w:p w:rsidR="006C47EA" w:rsidRPr="009915B7" w:rsidRDefault="00A30103" w:rsidP="006C47EA">
            <w:pPr>
              <w:spacing w:line="240" w:lineRule="auto"/>
              <w:jc w:val="center"/>
              <w:rPr>
                <w:rFonts w:eastAsia="Times New Roman"/>
                <w:szCs w:val="24"/>
                <w:lang w:eastAsia="hu-HU"/>
              </w:rPr>
            </w:pPr>
            <w:r>
              <w:rPr>
                <w:rFonts w:eastAsia="Times New Roman"/>
                <w:szCs w:val="24"/>
                <w:lang w:eastAsia="hu-HU"/>
              </w:rPr>
              <w:t>1310%</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PI Asia industrialised, Australia, New Zealand</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 xml:space="preserve">Ausztrália, Brunei, Hong Kong, Japán, Koreai </w:t>
            </w:r>
            <w:r w:rsidR="001C50FE" w:rsidRPr="008513D8">
              <w:rPr>
                <w:rFonts w:eastAsia="Times New Roman"/>
                <w:sz w:val="22"/>
                <w:szCs w:val="24"/>
                <w:lang w:eastAsia="hu-HU"/>
              </w:rPr>
              <w:t>Köztársaság</w:t>
            </w:r>
            <w:r w:rsidRPr="008513D8">
              <w:rPr>
                <w:rFonts w:eastAsia="Times New Roman"/>
                <w:sz w:val="22"/>
                <w:szCs w:val="24"/>
                <w:lang w:eastAsia="hu-HU"/>
              </w:rPr>
              <w:t>, Macao, Új-Zéland, Szingapúr, Tajvan</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9915B7">
              <w:rPr>
                <w:rFonts w:eastAsia="Times New Roman"/>
                <w:szCs w:val="24"/>
                <w:lang w:eastAsia="hu-HU"/>
              </w:rPr>
              <w:t>137.460€</w:t>
            </w:r>
          </w:p>
        </w:tc>
        <w:tc>
          <w:tcPr>
            <w:tcW w:w="1373" w:type="dxa"/>
            <w:vAlign w:val="center"/>
          </w:tcPr>
          <w:p w:rsidR="006C47EA" w:rsidRPr="009915B7" w:rsidRDefault="001C50FE" w:rsidP="006C47EA">
            <w:pPr>
              <w:spacing w:line="240" w:lineRule="auto"/>
              <w:jc w:val="center"/>
              <w:rPr>
                <w:rFonts w:eastAsia="Times New Roman"/>
                <w:szCs w:val="24"/>
                <w:lang w:eastAsia="hu-HU"/>
              </w:rPr>
            </w:pPr>
            <w:r>
              <w:rPr>
                <w:rFonts w:eastAsia="Times New Roman"/>
                <w:szCs w:val="24"/>
                <w:lang w:eastAsia="hu-HU"/>
              </w:rPr>
              <w:t>1217%</w:t>
            </w:r>
          </w:p>
        </w:tc>
      </w:tr>
      <w:tr w:rsidR="006C47EA" w:rsidRPr="005D248C" w:rsidTr="006C47EA">
        <w:trPr>
          <w:tblCellSpacing w:w="15" w:type="dxa"/>
        </w:trPr>
        <w:tc>
          <w:tcPr>
            <w:tcW w:w="1711" w:type="dxa"/>
            <w:vAlign w:val="center"/>
            <w:hideMark/>
          </w:tcPr>
          <w:p w:rsidR="006C47EA" w:rsidRPr="005D248C" w:rsidRDefault="006C47EA" w:rsidP="006C47EA">
            <w:pPr>
              <w:spacing w:line="240" w:lineRule="auto"/>
              <w:rPr>
                <w:rFonts w:eastAsia="Times New Roman"/>
                <w:szCs w:val="24"/>
                <w:lang w:eastAsia="hu-HU"/>
              </w:rPr>
            </w:pPr>
            <w:r w:rsidRPr="005D248C">
              <w:rPr>
                <w:rFonts w:eastAsia="Times New Roman"/>
                <w:szCs w:val="24"/>
                <w:lang w:eastAsia="hu-HU"/>
              </w:rPr>
              <w:t>EDF</w:t>
            </w:r>
          </w:p>
        </w:tc>
        <w:tc>
          <w:tcPr>
            <w:tcW w:w="6349" w:type="dxa"/>
            <w:vAlign w:val="center"/>
            <w:hideMark/>
          </w:tcPr>
          <w:p w:rsidR="006C47EA" w:rsidRPr="008513D8" w:rsidRDefault="006C47EA" w:rsidP="006C47EA">
            <w:pPr>
              <w:spacing w:line="240" w:lineRule="auto"/>
              <w:rPr>
                <w:rFonts w:eastAsia="Times New Roman"/>
                <w:sz w:val="22"/>
                <w:szCs w:val="24"/>
                <w:lang w:eastAsia="hu-HU"/>
              </w:rPr>
            </w:pPr>
            <w:r w:rsidRPr="008513D8">
              <w:rPr>
                <w:rFonts w:eastAsia="Times New Roman"/>
                <w:i/>
                <w:sz w:val="22"/>
                <w:szCs w:val="24"/>
                <w:lang w:eastAsia="hu-HU"/>
              </w:rPr>
              <w:t>ACP/AKCS országok (Afrika, karibi és csendes-óceáni térség)</w:t>
            </w:r>
            <w:r w:rsidRPr="008513D8">
              <w:rPr>
                <w:rFonts w:eastAsia="Times New Roman"/>
                <w:sz w:val="22"/>
                <w:szCs w:val="24"/>
                <w:lang w:eastAsia="hu-HU"/>
              </w:rPr>
              <w:t>:</w:t>
            </w:r>
          </w:p>
          <w:p w:rsidR="006C47EA" w:rsidRPr="008513D8" w:rsidRDefault="006C47EA" w:rsidP="006C47EA">
            <w:pPr>
              <w:spacing w:line="240" w:lineRule="auto"/>
              <w:rPr>
                <w:rFonts w:eastAsia="Times New Roman"/>
                <w:sz w:val="22"/>
                <w:szCs w:val="24"/>
                <w:lang w:eastAsia="hu-HU"/>
              </w:rPr>
            </w:pPr>
            <w:r w:rsidRPr="008513D8">
              <w:rPr>
                <w:rFonts w:eastAsia="Times New Roman"/>
                <w:sz w:val="22"/>
                <w:szCs w:val="24"/>
                <w:lang w:eastAsia="hu-HU"/>
              </w:rPr>
              <w:t>Angola, Antigua és Barbuda,  Zöld-foki Köztársaság, Comore-szigetek, Bahama-szigetek, Barbados, Belize, Benin, Botswana, Burkina Faso, Burundi, Kamerun, Közép-afrikai Köztársaság, Csád, Kongói Köztársaság, Kongói Demokratikus Köztársaság, Cook-szigetek, Elefántcsontpart, Dzsibuti, Dominika, Dominikai Köztársaság, Eritrea, Etiópia, Fidzsi, Gabon, Gambia, Ghána, Grenada, Guineai Köztársaság, Bissau-Guinea, Egyenlítői-Guinea, Guyana, Haiti, Jamaica, Kenya, Kiribati, Lesotho, Libéria, Madagaszkár, Malawi, Mali, Marshall-szigetek, Mauritánia, Mauritius, Mikronézia, Mozambik, Namíbia, Nauru, Niger, Nigéria, Niue, Palau, Pápua Új-Guinea, Ruanda, SaintKitts és Nevis, Saint Lucia, Saint Vincent és Grenadine-szigetek, Salamon-szigetek, Szamoa, Săo Tomé és Príncipe, Szenegál, Seychelle-szigetek, Sierra Leone, Szomália, Szudán17, Dél-Szudán, Suriname, Szváziföld, Tanzánia, Kelet-Timor, Togo, Tonga, Trinidad és Tobago, Tuvalu, Uganda, Vanuatu, Zambia, Zimbabwe</w:t>
            </w:r>
          </w:p>
        </w:tc>
        <w:tc>
          <w:tcPr>
            <w:tcW w:w="1104" w:type="dxa"/>
            <w:vAlign w:val="center"/>
            <w:hideMark/>
          </w:tcPr>
          <w:p w:rsidR="006C47EA" w:rsidRPr="005D248C" w:rsidRDefault="006C47EA" w:rsidP="006C47EA">
            <w:pPr>
              <w:spacing w:line="240" w:lineRule="auto"/>
              <w:jc w:val="center"/>
              <w:rPr>
                <w:rFonts w:eastAsia="Times New Roman"/>
                <w:szCs w:val="24"/>
                <w:lang w:eastAsia="hu-HU"/>
              </w:rPr>
            </w:pPr>
            <w:r w:rsidRPr="009915B7">
              <w:rPr>
                <w:rFonts w:eastAsia="Times New Roman"/>
                <w:szCs w:val="24"/>
                <w:lang w:eastAsia="hu-HU"/>
              </w:rPr>
              <w:t>125.444€</w:t>
            </w:r>
          </w:p>
        </w:tc>
        <w:tc>
          <w:tcPr>
            <w:tcW w:w="1373" w:type="dxa"/>
            <w:vAlign w:val="center"/>
          </w:tcPr>
          <w:p w:rsidR="006C47EA" w:rsidRPr="009915B7" w:rsidRDefault="00A30103" w:rsidP="006C47EA">
            <w:pPr>
              <w:spacing w:line="240" w:lineRule="auto"/>
              <w:jc w:val="center"/>
              <w:rPr>
                <w:rFonts w:eastAsia="Times New Roman"/>
                <w:szCs w:val="24"/>
                <w:lang w:eastAsia="hu-HU"/>
              </w:rPr>
            </w:pPr>
            <w:r>
              <w:rPr>
                <w:rFonts w:eastAsia="Times New Roman"/>
                <w:szCs w:val="24"/>
                <w:lang w:eastAsia="hu-HU"/>
              </w:rPr>
              <w:t>169%</w:t>
            </w:r>
          </w:p>
        </w:tc>
      </w:tr>
    </w:tbl>
    <w:p w:rsidR="001C50FE" w:rsidRDefault="005D248C" w:rsidP="005D248C">
      <w:pPr>
        <w:spacing w:line="240" w:lineRule="auto"/>
        <w:rPr>
          <w:rFonts w:eastAsia="Times New Roman"/>
          <w:szCs w:val="24"/>
          <w:lang w:eastAsia="hu-HU"/>
        </w:rPr>
      </w:pPr>
      <w:r w:rsidRPr="005D248C">
        <w:rPr>
          <w:rFonts w:eastAsia="Times New Roman"/>
          <w:szCs w:val="24"/>
          <w:lang w:eastAsia="hu-HU"/>
        </w:rPr>
        <w:t> </w:t>
      </w:r>
    </w:p>
    <w:p w:rsidR="008513D8" w:rsidRDefault="008513D8" w:rsidP="005D248C">
      <w:pPr>
        <w:spacing w:line="240" w:lineRule="auto"/>
        <w:rPr>
          <w:rFonts w:eastAsia="Times New Roman"/>
          <w:szCs w:val="24"/>
          <w:lang w:eastAsia="hu-HU"/>
        </w:rPr>
      </w:pPr>
    </w:p>
    <w:p w:rsidR="005D248C" w:rsidRPr="005D248C" w:rsidRDefault="005D248C" w:rsidP="005D248C">
      <w:pPr>
        <w:spacing w:line="240" w:lineRule="auto"/>
        <w:rPr>
          <w:rFonts w:eastAsia="Times New Roman"/>
          <w:szCs w:val="24"/>
          <w:lang w:eastAsia="hu-HU"/>
        </w:rPr>
      </w:pPr>
      <w:r w:rsidRPr="005D248C">
        <w:rPr>
          <w:rFonts w:eastAsia="Times New Roman"/>
          <w:szCs w:val="24"/>
          <w:lang w:eastAsia="hu-HU"/>
        </w:rPr>
        <w:t> </w:t>
      </w:r>
    </w:p>
    <w:p w:rsidR="005D248C" w:rsidRPr="005D248C" w:rsidRDefault="00E567EA" w:rsidP="005D248C">
      <w:pPr>
        <w:spacing w:line="240" w:lineRule="auto"/>
        <w:rPr>
          <w:rFonts w:eastAsia="Times New Roman"/>
          <w:szCs w:val="24"/>
          <w:lang w:eastAsia="hu-HU"/>
        </w:rPr>
      </w:pPr>
      <w:r>
        <w:rPr>
          <w:rFonts w:eastAsia="Times New Roman"/>
          <w:b/>
          <w:bCs/>
          <w:szCs w:val="24"/>
          <w:lang w:eastAsia="hu-HU"/>
        </w:rPr>
        <w:lastRenderedPageBreak/>
        <w:t>3</w:t>
      </w:r>
      <w:r w:rsidR="005D248C" w:rsidRPr="005D248C">
        <w:rPr>
          <w:rFonts w:eastAsia="Times New Roman"/>
          <w:b/>
          <w:bCs/>
          <w:szCs w:val="24"/>
          <w:lang w:eastAsia="hu-HU"/>
        </w:rPr>
        <w:t>. A pályázatok értékelésének szempontjai</w:t>
      </w:r>
      <w:bookmarkStart w:id="0" w:name="_GoBack"/>
      <w:bookmarkEnd w:id="0"/>
    </w:p>
    <w:p w:rsidR="006C6C0B" w:rsidRPr="006C6C0B" w:rsidRDefault="006C6C0B" w:rsidP="006C6C0B">
      <w:pPr>
        <w:spacing w:line="240" w:lineRule="auto"/>
        <w:jc w:val="both"/>
        <w:rPr>
          <w:rFonts w:eastAsia="Times New Roman"/>
          <w:szCs w:val="24"/>
          <w:lang w:eastAsia="hu-HU"/>
        </w:rPr>
      </w:pPr>
      <w:r w:rsidRPr="006C6C0B">
        <w:rPr>
          <w:rFonts w:eastAsia="Times New Roman"/>
          <w:szCs w:val="24"/>
          <w:lang w:eastAsia="hu-HU"/>
        </w:rPr>
        <w:t>Az Európai Bizottság központilag meghatározta a pályázatok elsődleges értékelési szempontjait. A nemzetközi kreditmobilitási pályázatok bírálata 4 értékelési szempont figyelembevételével történik, partnerországonként külön-külön.</w:t>
      </w:r>
    </w:p>
    <w:p w:rsidR="006C6C0B" w:rsidRDefault="006C6C0B" w:rsidP="006C6C0B">
      <w:pPr>
        <w:spacing w:line="240" w:lineRule="auto"/>
        <w:jc w:val="both"/>
        <w:rPr>
          <w:rFonts w:eastAsia="Times New Roman"/>
          <w:b/>
          <w:bCs/>
          <w:szCs w:val="24"/>
          <w:lang w:eastAsia="hu-HU"/>
        </w:rPr>
      </w:pPr>
    </w:p>
    <w:p w:rsidR="006C6C0B" w:rsidRPr="006C6C0B" w:rsidRDefault="00E567EA" w:rsidP="006C6C0B">
      <w:pPr>
        <w:spacing w:line="240" w:lineRule="auto"/>
        <w:jc w:val="both"/>
        <w:rPr>
          <w:rFonts w:eastAsia="Times New Roman"/>
          <w:szCs w:val="24"/>
          <w:lang w:eastAsia="hu-HU"/>
        </w:rPr>
      </w:pPr>
      <w:r>
        <w:rPr>
          <w:rFonts w:eastAsia="Times New Roman"/>
          <w:b/>
          <w:bCs/>
          <w:szCs w:val="24"/>
          <w:lang w:eastAsia="hu-HU"/>
        </w:rPr>
        <w:t>É</w:t>
      </w:r>
      <w:r w:rsidR="006C6C0B" w:rsidRPr="006C6C0B">
        <w:rPr>
          <w:rFonts w:eastAsia="Times New Roman"/>
          <w:b/>
          <w:bCs/>
          <w:szCs w:val="24"/>
          <w:lang w:eastAsia="hu-HU"/>
        </w:rPr>
        <w:t>rtékelési szempontok</w:t>
      </w:r>
    </w:p>
    <w:p w:rsidR="006C6C0B" w:rsidRPr="006C6C0B" w:rsidRDefault="006C6C0B" w:rsidP="006C6C0B">
      <w:pPr>
        <w:spacing w:line="240" w:lineRule="auto"/>
        <w:jc w:val="both"/>
        <w:rPr>
          <w:rFonts w:eastAsia="Times New Roman"/>
          <w:i/>
          <w:szCs w:val="24"/>
          <w:lang w:eastAsia="hu-HU"/>
        </w:rPr>
      </w:pPr>
      <w:r w:rsidRPr="006C6C0B">
        <w:rPr>
          <w:rFonts w:eastAsia="Times New Roman"/>
          <w:i/>
          <w:szCs w:val="24"/>
          <w:lang w:eastAsia="hu-HU"/>
        </w:rPr>
        <w:t>I. A stratégia relevanciája (30 pont)</w:t>
      </w:r>
    </w:p>
    <w:p w:rsidR="006C6C0B" w:rsidRPr="006C6C0B" w:rsidRDefault="006C6C0B" w:rsidP="006C6C0B">
      <w:pPr>
        <w:spacing w:line="240" w:lineRule="auto"/>
        <w:jc w:val="both"/>
        <w:rPr>
          <w:rFonts w:eastAsia="Times New Roman"/>
          <w:szCs w:val="24"/>
          <w:lang w:eastAsia="hu-HU"/>
        </w:rPr>
      </w:pPr>
      <w:r w:rsidRPr="006C6C0B">
        <w:rPr>
          <w:rFonts w:eastAsia="Times New Roman"/>
          <w:szCs w:val="24"/>
          <w:lang w:eastAsia="hu-HU"/>
        </w:rPr>
        <w:t>A pályázónak be kell mutatnia, hogy a program- és partnerországok felsőoktatási intézményeinek nemzetköziesítési stratégiájához hogyan illeszkedik a tervezett mobilitási tevékenység, és alá kell támasztania a javasolt mobilitás-típus (hallgató és/vagy oktatói mobilitás) relevanciáját.</w:t>
      </w:r>
    </w:p>
    <w:p w:rsidR="006C6C0B" w:rsidRPr="006C6C0B" w:rsidRDefault="006C6C0B" w:rsidP="006C6C0B">
      <w:pPr>
        <w:spacing w:line="240" w:lineRule="auto"/>
        <w:jc w:val="both"/>
        <w:rPr>
          <w:rFonts w:eastAsia="Times New Roman"/>
          <w:i/>
          <w:szCs w:val="24"/>
          <w:lang w:eastAsia="hu-HU"/>
        </w:rPr>
      </w:pPr>
      <w:r w:rsidRPr="006C6C0B">
        <w:rPr>
          <w:rFonts w:eastAsia="Times New Roman"/>
          <w:i/>
          <w:szCs w:val="24"/>
          <w:lang w:eastAsia="hu-HU"/>
        </w:rPr>
        <w:t>II. Az együttműködés minősége (30 pont)</w:t>
      </w:r>
    </w:p>
    <w:p w:rsidR="006C6C0B" w:rsidRPr="006C6C0B" w:rsidRDefault="006C6C0B" w:rsidP="006C6C0B">
      <w:pPr>
        <w:spacing w:line="240" w:lineRule="auto"/>
        <w:jc w:val="both"/>
        <w:rPr>
          <w:rFonts w:eastAsia="Times New Roman"/>
          <w:szCs w:val="24"/>
          <w:lang w:eastAsia="hu-HU"/>
        </w:rPr>
      </w:pPr>
      <w:r w:rsidRPr="006C6C0B">
        <w:rPr>
          <w:rFonts w:eastAsia="Times New Roman"/>
          <w:szCs w:val="24"/>
          <w:lang w:eastAsia="hu-HU"/>
        </w:rPr>
        <w:t>A pályázónak részleteznie kell, hogy az adott partnerország felsőoktatási intézményeivel milyen korábbi, hasonló projektekben szerzett tapasztalatai vannak (amennyiben vannak korábbi tapasztalatok). Részleteznie kell továbbá, hogy a tervezett mobilitási projekt során a felelősségi körök, szerepek és feladatok hogyan kerülnek meghatározásra az intézményközi megállapodásban.</w:t>
      </w:r>
    </w:p>
    <w:p w:rsidR="006C6C0B" w:rsidRPr="006C6C0B" w:rsidRDefault="006C6C0B" w:rsidP="006C6C0B">
      <w:pPr>
        <w:spacing w:line="240" w:lineRule="auto"/>
        <w:jc w:val="both"/>
        <w:rPr>
          <w:rFonts w:eastAsia="Times New Roman"/>
          <w:i/>
          <w:szCs w:val="24"/>
          <w:lang w:eastAsia="hu-HU"/>
        </w:rPr>
      </w:pPr>
      <w:r w:rsidRPr="006C6C0B">
        <w:rPr>
          <w:rFonts w:eastAsia="Times New Roman"/>
          <w:i/>
          <w:szCs w:val="24"/>
          <w:lang w:eastAsia="hu-HU"/>
        </w:rPr>
        <w:t>III. A projektterv és a megvalósítás minősége (20 pont)</w:t>
      </w:r>
    </w:p>
    <w:p w:rsidR="006C6C0B" w:rsidRPr="006C6C0B" w:rsidRDefault="006C6C0B" w:rsidP="006C6C0B">
      <w:pPr>
        <w:spacing w:line="240" w:lineRule="auto"/>
        <w:jc w:val="both"/>
        <w:rPr>
          <w:rFonts w:eastAsia="Times New Roman"/>
          <w:szCs w:val="24"/>
          <w:lang w:eastAsia="hu-HU"/>
        </w:rPr>
      </w:pPr>
      <w:r w:rsidRPr="006C6C0B">
        <w:rPr>
          <w:rFonts w:eastAsia="Times New Roman"/>
          <w:szCs w:val="24"/>
          <w:lang w:eastAsia="hu-HU"/>
        </w:rPr>
        <w:t>A pályázónak be kell mutatnia a mobilitási projekt különböző szakaszait. Össze kell foglalnia, hogyan tervezik a partnerszervezetekkel a mobilitásban résztvevők kiválasztását, hogyan támogatják az egyéni résztvevőket és hogyan tervezik a mobilitási időszak elismertetését (különös tekintettel a partnerországokban).</w:t>
      </w:r>
    </w:p>
    <w:p w:rsidR="006C6C0B" w:rsidRPr="006C6C0B" w:rsidRDefault="006C6C0B" w:rsidP="006C6C0B">
      <w:pPr>
        <w:spacing w:line="240" w:lineRule="auto"/>
        <w:jc w:val="both"/>
        <w:rPr>
          <w:rFonts w:eastAsia="Times New Roman"/>
          <w:i/>
          <w:szCs w:val="24"/>
          <w:lang w:eastAsia="hu-HU"/>
        </w:rPr>
      </w:pPr>
      <w:r w:rsidRPr="006C6C0B">
        <w:rPr>
          <w:rFonts w:eastAsia="Times New Roman"/>
          <w:i/>
          <w:szCs w:val="24"/>
          <w:lang w:eastAsia="hu-HU"/>
        </w:rPr>
        <w:t>IV. Hatás és disszemináció (20 pont)</w:t>
      </w:r>
    </w:p>
    <w:p w:rsidR="006C6C0B" w:rsidRPr="006C6C0B" w:rsidRDefault="006C6C0B" w:rsidP="006C6C0B">
      <w:pPr>
        <w:spacing w:line="240" w:lineRule="auto"/>
        <w:jc w:val="both"/>
        <w:rPr>
          <w:rFonts w:eastAsia="Times New Roman"/>
          <w:szCs w:val="24"/>
          <w:lang w:eastAsia="hu-HU"/>
        </w:rPr>
      </w:pPr>
      <w:r w:rsidRPr="006C6C0B">
        <w:rPr>
          <w:rFonts w:eastAsia="Times New Roman"/>
          <w:szCs w:val="24"/>
          <w:lang w:eastAsia="hu-HU"/>
        </w:rPr>
        <w:t>A pályázónak be kell mutatnia, milyen hatást várnak a mobilitási projekttől a résztvevők, kedvezményezettek és a partnerszervezetek szempontjából helyi, regionális és nemzeti szinten. Ismertetnie kell továbbá, hogy milyen intézkedéseket terveznek a mobilitási projekt eredményeinek terjesztése kapcsán (disszemináció), tanszéki és intézményi szinten, mind a program- mind a partnerországokban (amennyiben az utóbbi releváns).</w:t>
      </w:r>
    </w:p>
    <w:p w:rsidR="006C6C0B" w:rsidRDefault="006C6C0B" w:rsidP="006C6C0B">
      <w:pPr>
        <w:spacing w:line="240" w:lineRule="auto"/>
        <w:rPr>
          <w:rFonts w:eastAsia="Times New Roman"/>
          <w:b/>
          <w:bCs/>
          <w:szCs w:val="24"/>
          <w:lang w:eastAsia="hu-HU"/>
        </w:rPr>
      </w:pPr>
    </w:p>
    <w:p w:rsidR="006C6C0B" w:rsidRPr="006C6C0B" w:rsidRDefault="006C6C0B" w:rsidP="006C6C0B">
      <w:pPr>
        <w:spacing w:line="240" w:lineRule="auto"/>
        <w:rPr>
          <w:rFonts w:eastAsia="Times New Roman"/>
          <w:szCs w:val="24"/>
          <w:lang w:eastAsia="hu-HU"/>
        </w:rPr>
      </w:pPr>
      <w:r w:rsidRPr="006C6C0B">
        <w:rPr>
          <w:rFonts w:eastAsia="Times New Roman"/>
          <w:b/>
          <w:bCs/>
          <w:szCs w:val="24"/>
          <w:lang w:eastAsia="hu-HU"/>
        </w:rPr>
        <w:t>A támogathatóság feltétele</w:t>
      </w:r>
    </w:p>
    <w:p w:rsidR="006C6C0B" w:rsidRPr="006C6C0B" w:rsidRDefault="006C6C0B" w:rsidP="006C6C0B">
      <w:pPr>
        <w:spacing w:line="240" w:lineRule="auto"/>
        <w:jc w:val="both"/>
        <w:rPr>
          <w:rFonts w:eastAsia="Times New Roman"/>
          <w:szCs w:val="24"/>
          <w:lang w:eastAsia="hu-HU"/>
        </w:rPr>
      </w:pPr>
      <w:r w:rsidRPr="006C6C0B">
        <w:rPr>
          <w:rFonts w:eastAsia="Times New Roman"/>
          <w:szCs w:val="24"/>
          <w:lang w:eastAsia="hu-HU"/>
        </w:rPr>
        <w:t>A pályázatok országok szerinti értékelése során lehetőség van teljes mértékben illetve részlegesen támogatni a tervezett mobilitási tevékenységeket, vagy elutasítani az adott országra vonatkozó támogatási igényt. Formai megfelelés esetén legalább 60 pont kell a támogatáshoz, illetve „A stratégia relevánciája” szempont esetén minimum 15 pontot kell elérni ahhoz, hogy támogatható legyen a pályázat az adott ország tekintetében. A támogatási igényeket az egyes költségvetési sorok szerint lehet jóváhagyni, a költségvetési keretek kimerüléséig.</w:t>
      </w:r>
    </w:p>
    <w:p w:rsidR="005D248C" w:rsidRPr="005D248C" w:rsidRDefault="005D248C" w:rsidP="005D248C">
      <w:pPr>
        <w:spacing w:line="240" w:lineRule="auto"/>
        <w:rPr>
          <w:rFonts w:eastAsia="Times New Roman"/>
          <w:szCs w:val="24"/>
          <w:lang w:eastAsia="hu-HU"/>
        </w:rPr>
      </w:pPr>
      <w:r w:rsidRPr="005D248C">
        <w:rPr>
          <w:rFonts w:eastAsia="Times New Roman"/>
          <w:szCs w:val="24"/>
          <w:lang w:eastAsia="hu-HU"/>
        </w:rPr>
        <w:t> </w:t>
      </w:r>
    </w:p>
    <w:p w:rsidR="00741DB8" w:rsidRDefault="008513D8" w:rsidP="005D248C"/>
    <w:sectPr w:rsidR="00741DB8" w:rsidSect="005D248C">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8C" w:rsidRDefault="005D248C" w:rsidP="005D248C">
      <w:pPr>
        <w:spacing w:line="240" w:lineRule="auto"/>
      </w:pPr>
      <w:r>
        <w:separator/>
      </w:r>
    </w:p>
  </w:endnote>
  <w:endnote w:type="continuationSeparator" w:id="0">
    <w:p w:rsidR="005D248C" w:rsidRDefault="005D248C" w:rsidP="005D2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14437"/>
      <w:docPartObj>
        <w:docPartGallery w:val="Page Numbers (Bottom of Page)"/>
        <w:docPartUnique/>
      </w:docPartObj>
    </w:sdtPr>
    <w:sdtEndPr/>
    <w:sdtContent>
      <w:p w:rsidR="005D248C" w:rsidRDefault="005D248C">
        <w:pPr>
          <w:pStyle w:val="llb"/>
          <w:jc w:val="right"/>
        </w:pPr>
        <w:r>
          <w:fldChar w:fldCharType="begin"/>
        </w:r>
        <w:r>
          <w:instrText>PAGE   \* MERGEFORMAT</w:instrText>
        </w:r>
        <w:r>
          <w:fldChar w:fldCharType="separate"/>
        </w:r>
        <w:r w:rsidR="008513D8">
          <w:rPr>
            <w:noProof/>
          </w:rPr>
          <w:t>2</w:t>
        </w:r>
        <w:r>
          <w:fldChar w:fldCharType="end"/>
        </w:r>
      </w:p>
    </w:sdtContent>
  </w:sdt>
  <w:p w:rsidR="005D248C" w:rsidRDefault="005D248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8C" w:rsidRDefault="005D248C" w:rsidP="005D248C">
      <w:pPr>
        <w:spacing w:line="240" w:lineRule="auto"/>
      </w:pPr>
      <w:r>
        <w:separator/>
      </w:r>
    </w:p>
  </w:footnote>
  <w:footnote w:type="continuationSeparator" w:id="0">
    <w:p w:rsidR="005D248C" w:rsidRDefault="005D248C" w:rsidP="005D24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502EB"/>
    <w:multiLevelType w:val="multilevel"/>
    <w:tmpl w:val="57D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63115"/>
    <w:multiLevelType w:val="multilevel"/>
    <w:tmpl w:val="401A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92BA3"/>
    <w:multiLevelType w:val="multilevel"/>
    <w:tmpl w:val="970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8C"/>
    <w:rsid w:val="00041234"/>
    <w:rsid w:val="00106DA2"/>
    <w:rsid w:val="001C50FE"/>
    <w:rsid w:val="00205A17"/>
    <w:rsid w:val="005D248C"/>
    <w:rsid w:val="00623688"/>
    <w:rsid w:val="006C47EA"/>
    <w:rsid w:val="006C6C0B"/>
    <w:rsid w:val="008513D8"/>
    <w:rsid w:val="009759DF"/>
    <w:rsid w:val="009915B7"/>
    <w:rsid w:val="00A30103"/>
    <w:rsid w:val="00B97E84"/>
    <w:rsid w:val="00E27197"/>
    <w:rsid w:val="00E34062"/>
    <w:rsid w:val="00E567EA"/>
    <w:rsid w:val="00E71B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BDCA"/>
  <w15:docId w15:val="{92247D3D-375B-47A4-8401-1F07D9A2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D248C"/>
    <w:pPr>
      <w:spacing w:before="100" w:beforeAutospacing="1" w:after="100" w:afterAutospacing="1" w:line="240" w:lineRule="auto"/>
    </w:pPr>
    <w:rPr>
      <w:rFonts w:eastAsia="Times New Roman"/>
      <w:szCs w:val="24"/>
      <w:lang w:eastAsia="hu-HU"/>
    </w:rPr>
  </w:style>
  <w:style w:type="character" w:styleId="Kiemels2">
    <w:name w:val="Strong"/>
    <w:basedOn w:val="Bekezdsalapbettpusa"/>
    <w:uiPriority w:val="22"/>
    <w:qFormat/>
    <w:rsid w:val="005D248C"/>
    <w:rPr>
      <w:b/>
      <w:bCs/>
    </w:rPr>
  </w:style>
  <w:style w:type="character" w:styleId="Hiperhivatkozs">
    <w:name w:val="Hyperlink"/>
    <w:basedOn w:val="Bekezdsalapbettpusa"/>
    <w:uiPriority w:val="99"/>
    <w:unhideWhenUsed/>
    <w:rsid w:val="005D248C"/>
    <w:rPr>
      <w:color w:val="0000FF"/>
      <w:u w:val="single"/>
    </w:rPr>
  </w:style>
  <w:style w:type="paragraph" w:styleId="lfej">
    <w:name w:val="header"/>
    <w:basedOn w:val="Norml"/>
    <w:link w:val="lfejChar"/>
    <w:uiPriority w:val="99"/>
    <w:unhideWhenUsed/>
    <w:rsid w:val="005D248C"/>
    <w:pPr>
      <w:tabs>
        <w:tab w:val="center" w:pos="4536"/>
        <w:tab w:val="right" w:pos="9072"/>
      </w:tabs>
      <w:spacing w:line="240" w:lineRule="auto"/>
    </w:pPr>
  </w:style>
  <w:style w:type="character" w:customStyle="1" w:styleId="lfejChar">
    <w:name w:val="Élőfej Char"/>
    <w:basedOn w:val="Bekezdsalapbettpusa"/>
    <w:link w:val="lfej"/>
    <w:uiPriority w:val="99"/>
    <w:rsid w:val="005D248C"/>
  </w:style>
  <w:style w:type="paragraph" w:styleId="llb">
    <w:name w:val="footer"/>
    <w:basedOn w:val="Norml"/>
    <w:link w:val="llbChar"/>
    <w:uiPriority w:val="99"/>
    <w:unhideWhenUsed/>
    <w:rsid w:val="005D248C"/>
    <w:pPr>
      <w:tabs>
        <w:tab w:val="center" w:pos="4536"/>
        <w:tab w:val="right" w:pos="9072"/>
      </w:tabs>
      <w:spacing w:line="240" w:lineRule="auto"/>
    </w:pPr>
  </w:style>
  <w:style w:type="character" w:customStyle="1" w:styleId="llbChar">
    <w:name w:val="Élőláb Char"/>
    <w:basedOn w:val="Bekezdsalapbettpusa"/>
    <w:link w:val="llb"/>
    <w:uiPriority w:val="99"/>
    <w:rsid w:val="005D248C"/>
  </w:style>
  <w:style w:type="paragraph" w:styleId="Buborkszveg">
    <w:name w:val="Balloon Text"/>
    <w:basedOn w:val="Norml"/>
    <w:link w:val="BuborkszvegChar"/>
    <w:uiPriority w:val="99"/>
    <w:semiHidden/>
    <w:unhideWhenUsed/>
    <w:rsid w:val="005D248C"/>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248C"/>
    <w:rPr>
      <w:rFonts w:ascii="Tahoma" w:hAnsi="Tahoma" w:cs="Tahoma"/>
      <w:sz w:val="16"/>
      <w:szCs w:val="16"/>
    </w:rPr>
  </w:style>
  <w:style w:type="character" w:styleId="Mrltotthiperhivatkozs">
    <w:name w:val="FollowedHyperlink"/>
    <w:basedOn w:val="Bekezdsalapbettpusa"/>
    <w:uiPriority w:val="99"/>
    <w:semiHidden/>
    <w:unhideWhenUsed/>
    <w:rsid w:val="00205A17"/>
    <w:rPr>
      <w:color w:val="800080" w:themeColor="followedHyperlink"/>
      <w:u w:val="single"/>
    </w:rPr>
  </w:style>
  <w:style w:type="paragraph" w:styleId="Lbjegyzetszveg">
    <w:name w:val="footnote text"/>
    <w:basedOn w:val="Norml"/>
    <w:link w:val="LbjegyzetszvegChar"/>
    <w:uiPriority w:val="99"/>
    <w:semiHidden/>
    <w:unhideWhenUsed/>
    <w:rsid w:val="00B97E84"/>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B97E84"/>
    <w:rPr>
      <w:sz w:val="20"/>
      <w:szCs w:val="20"/>
    </w:rPr>
  </w:style>
  <w:style w:type="character" w:styleId="Lbjegyzet-hivatkozs">
    <w:name w:val="footnote reference"/>
    <w:basedOn w:val="Bekezdsalapbettpusa"/>
    <w:uiPriority w:val="99"/>
    <w:semiHidden/>
    <w:unhideWhenUsed/>
    <w:rsid w:val="00B97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4732">
      <w:bodyDiv w:val="1"/>
      <w:marLeft w:val="0"/>
      <w:marRight w:val="0"/>
      <w:marTop w:val="0"/>
      <w:marBottom w:val="0"/>
      <w:divBdr>
        <w:top w:val="none" w:sz="0" w:space="0" w:color="auto"/>
        <w:left w:val="none" w:sz="0" w:space="0" w:color="auto"/>
        <w:bottom w:val="none" w:sz="0" w:space="0" w:color="auto"/>
        <w:right w:val="none" w:sz="0" w:space="0" w:color="auto"/>
      </w:divBdr>
    </w:div>
    <w:div w:id="178592768">
      <w:bodyDiv w:val="1"/>
      <w:marLeft w:val="0"/>
      <w:marRight w:val="0"/>
      <w:marTop w:val="0"/>
      <w:marBottom w:val="0"/>
      <w:divBdr>
        <w:top w:val="none" w:sz="0" w:space="0" w:color="auto"/>
        <w:left w:val="none" w:sz="0" w:space="0" w:color="auto"/>
        <w:bottom w:val="none" w:sz="0" w:space="0" w:color="auto"/>
        <w:right w:val="none" w:sz="0" w:space="0" w:color="auto"/>
      </w:divBdr>
    </w:div>
    <w:div w:id="196281840">
      <w:bodyDiv w:val="1"/>
      <w:marLeft w:val="0"/>
      <w:marRight w:val="0"/>
      <w:marTop w:val="0"/>
      <w:marBottom w:val="0"/>
      <w:divBdr>
        <w:top w:val="none" w:sz="0" w:space="0" w:color="auto"/>
        <w:left w:val="none" w:sz="0" w:space="0" w:color="auto"/>
        <w:bottom w:val="none" w:sz="0" w:space="0" w:color="auto"/>
        <w:right w:val="none" w:sz="0" w:space="0" w:color="auto"/>
      </w:divBdr>
    </w:div>
    <w:div w:id="377126886">
      <w:bodyDiv w:val="1"/>
      <w:marLeft w:val="0"/>
      <w:marRight w:val="0"/>
      <w:marTop w:val="0"/>
      <w:marBottom w:val="0"/>
      <w:divBdr>
        <w:top w:val="none" w:sz="0" w:space="0" w:color="auto"/>
        <w:left w:val="none" w:sz="0" w:space="0" w:color="auto"/>
        <w:bottom w:val="none" w:sz="0" w:space="0" w:color="auto"/>
        <w:right w:val="none" w:sz="0" w:space="0" w:color="auto"/>
      </w:divBdr>
    </w:div>
    <w:div w:id="512039411">
      <w:bodyDiv w:val="1"/>
      <w:marLeft w:val="0"/>
      <w:marRight w:val="0"/>
      <w:marTop w:val="0"/>
      <w:marBottom w:val="0"/>
      <w:divBdr>
        <w:top w:val="none" w:sz="0" w:space="0" w:color="auto"/>
        <w:left w:val="none" w:sz="0" w:space="0" w:color="auto"/>
        <w:bottom w:val="none" w:sz="0" w:space="0" w:color="auto"/>
        <w:right w:val="none" w:sz="0" w:space="0" w:color="auto"/>
      </w:divBdr>
    </w:div>
    <w:div w:id="531773842">
      <w:bodyDiv w:val="1"/>
      <w:marLeft w:val="0"/>
      <w:marRight w:val="0"/>
      <w:marTop w:val="0"/>
      <w:marBottom w:val="0"/>
      <w:divBdr>
        <w:top w:val="none" w:sz="0" w:space="0" w:color="auto"/>
        <w:left w:val="none" w:sz="0" w:space="0" w:color="auto"/>
        <w:bottom w:val="none" w:sz="0" w:space="0" w:color="auto"/>
        <w:right w:val="none" w:sz="0" w:space="0" w:color="auto"/>
      </w:divBdr>
    </w:div>
    <w:div w:id="821503535">
      <w:bodyDiv w:val="1"/>
      <w:marLeft w:val="0"/>
      <w:marRight w:val="0"/>
      <w:marTop w:val="0"/>
      <w:marBottom w:val="0"/>
      <w:divBdr>
        <w:top w:val="none" w:sz="0" w:space="0" w:color="auto"/>
        <w:left w:val="none" w:sz="0" w:space="0" w:color="auto"/>
        <w:bottom w:val="none" w:sz="0" w:space="0" w:color="auto"/>
        <w:right w:val="none" w:sz="0" w:space="0" w:color="auto"/>
      </w:divBdr>
    </w:div>
    <w:div w:id="897013677">
      <w:bodyDiv w:val="1"/>
      <w:marLeft w:val="0"/>
      <w:marRight w:val="0"/>
      <w:marTop w:val="0"/>
      <w:marBottom w:val="0"/>
      <w:divBdr>
        <w:top w:val="none" w:sz="0" w:space="0" w:color="auto"/>
        <w:left w:val="none" w:sz="0" w:space="0" w:color="auto"/>
        <w:bottom w:val="none" w:sz="0" w:space="0" w:color="auto"/>
        <w:right w:val="none" w:sz="0" w:space="0" w:color="auto"/>
      </w:divBdr>
    </w:div>
    <w:div w:id="10893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26C6-28ED-4277-A6C6-9CC012A6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817</Words>
  <Characters>5641</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PPKE</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Végh Eszter</dc:creator>
  <cp:lastModifiedBy>Reinisch Réka</cp:lastModifiedBy>
  <cp:revision>11</cp:revision>
  <cp:lastPrinted>2015-12-09T07:39:00Z</cp:lastPrinted>
  <dcterms:created xsi:type="dcterms:W3CDTF">2015-12-09T07:32:00Z</dcterms:created>
  <dcterms:modified xsi:type="dcterms:W3CDTF">2017-11-08T14:51:00Z</dcterms:modified>
</cp:coreProperties>
</file>