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06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66"/>
        <w:gridCol w:w="2835"/>
        <w:gridCol w:w="2961"/>
        <w:tblGridChange w:id="0">
          <w:tblGrid>
            <w:gridCol w:w="3266"/>
            <w:gridCol w:w="2835"/>
            <w:gridCol w:w="296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neve: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BBNRS11100 Újlatin kultúrák nyelvei (francia, olasz, spanyol) 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Tárgyfelelős: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Yilmaz-Mészáros Enikő</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Tantárgy oktatója: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Yilmaz-Mészáros Enikő, Dr. Miguel García Viñolo, 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 tantárgy céljának rövid ismertetése: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jc w:val="both"/>
              <w:rPr/>
            </w:pPr>
            <w:r w:rsidDel="00000000" w:rsidR="00000000" w:rsidRPr="00000000">
              <w:rPr>
                <w:rFonts w:ascii="PT Sans" w:cs="PT Sans" w:eastAsia="PT Sans" w:hAnsi="PT Sans"/>
                <w:rtl w:val="0"/>
              </w:rPr>
              <w:t xml:space="preserve">A kurzus célja, hogy a romanisztika szakos hallgató a főnyelve mellett megismerkedjen egy másik (választott) újlatin nyelv alapjaival, és képes legyen azt alapszinten használni, miközben tudatosítja az újlatin nyelvek közötti nyelvi és kulturális összefüggéseket.</w:t>
            </w:r>
            <w:r w:rsidDel="00000000" w:rsidR="00000000" w:rsidRPr="00000000">
              <w:rPr>
                <w:rtl w:val="0"/>
              </w:rPr>
            </w:r>
          </w:p>
        </w:tc>
      </w:tr>
      <w:tr>
        <w:trPr>
          <w:cantSplit w:val="0"/>
          <w:trHeight w:val="2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elméleti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Igeidők és igeragozások komplexebb használata (pl. múlt idejű aspektusok, feltételes mód)</w:t>
            </w:r>
          </w:p>
          <w:p w:rsidR="00000000" w:rsidDel="00000000" w:rsidP="00000000" w:rsidRDefault="00000000" w:rsidRPr="00000000" w14:paraId="00000010">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Névmások, prepozíciók, kötőszavak, határozók finomabb használata</w:t>
            </w:r>
          </w:p>
          <w:p w:rsidR="00000000" w:rsidDel="00000000" w:rsidP="00000000" w:rsidRDefault="00000000" w:rsidRPr="00000000" w14:paraId="00000011">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Mondatszerkezetek: összetett mondatok, mellékmondatok, kötőszavak logikája</w:t>
            </w:r>
          </w:p>
          <w:p w:rsidR="00000000" w:rsidDel="00000000" w:rsidP="00000000" w:rsidRDefault="00000000" w:rsidRPr="00000000" w14:paraId="00000012">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Bővített szómezők</w:t>
            </w:r>
          </w:p>
          <w:p w:rsidR="00000000" w:rsidDel="00000000" w:rsidP="00000000" w:rsidRDefault="00000000" w:rsidRPr="00000000" w14:paraId="00000013">
            <w:pPr>
              <w:numPr>
                <w:ilvl w:val="0"/>
                <w:numId w:val="6"/>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Alapvető kollokációk és gyakori kifejezések</w:t>
            </w:r>
          </w:p>
        </w:tc>
      </w:tr>
      <w:tr>
        <w:trPr>
          <w:cantSplit w:val="0"/>
          <w:trHeight w:val="2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Elsajátítandó gyakorlati ismeretanyag: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Rövid párbeszédek komplexebb szituációkban (pl. orvosnál, utazás, bolt, hivatalos ügyintézés)</w:t>
            </w:r>
          </w:p>
          <w:p w:rsidR="00000000" w:rsidDel="00000000" w:rsidP="00000000" w:rsidRDefault="00000000" w:rsidRPr="00000000" w14:paraId="00000017">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Véleménykifejezés, preferenciák, egyszerű érvelés</w:t>
            </w:r>
          </w:p>
          <w:p w:rsidR="00000000" w:rsidDel="00000000" w:rsidP="00000000" w:rsidRDefault="00000000" w:rsidRPr="00000000" w14:paraId="00000018">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Rövid levelek, üzenetek, e-mailek</w:t>
            </w:r>
          </w:p>
          <w:p w:rsidR="00000000" w:rsidDel="00000000" w:rsidP="00000000" w:rsidRDefault="00000000" w:rsidRPr="00000000" w14:paraId="00000019">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Egyszerű leíró és narratív szövegek (pl. családról, napirendről, utazásról)</w:t>
            </w:r>
          </w:p>
          <w:p w:rsidR="00000000" w:rsidDel="00000000" w:rsidP="00000000" w:rsidRDefault="00000000" w:rsidRPr="00000000" w14:paraId="0000001A">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Kicsit hosszabb autentikus szövegek feldolgozása</w:t>
            </w:r>
          </w:p>
          <w:p w:rsidR="00000000" w:rsidDel="00000000" w:rsidP="00000000" w:rsidRDefault="00000000" w:rsidRPr="00000000" w14:paraId="0000001B">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Hibajavítás, visszakérdezés, ismétlés kérés</w:t>
            </w:r>
          </w:p>
          <w:p w:rsidR="00000000" w:rsidDel="00000000" w:rsidP="00000000" w:rsidRDefault="00000000" w:rsidRPr="00000000" w14:paraId="0000001C">
            <w:pPr>
              <w:numPr>
                <w:ilvl w:val="0"/>
                <w:numId w:val="1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Szóbeli körülírás, szinonimák használata, egyszerű parafrázis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kötelező irodalom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jc w:val="both"/>
              <w:rPr>
                <w:rFonts w:ascii="PT Sans" w:cs="PT Sans" w:eastAsia="PT Sans" w:hAnsi="PT Sans"/>
              </w:rPr>
            </w:pPr>
            <w:r w:rsidDel="00000000" w:rsidR="00000000" w:rsidRPr="00000000">
              <w:rPr>
                <w:rFonts w:ascii="PT Sans" w:cs="PT Sans" w:eastAsia="PT Sans" w:hAnsi="PT Sans"/>
                <w:rtl w:val="0"/>
              </w:rPr>
              <w:t xml:space="preserve">Karakai Imre (1999): </w:t>
            </w:r>
            <w:r w:rsidDel="00000000" w:rsidR="00000000" w:rsidRPr="00000000">
              <w:rPr>
                <w:rFonts w:ascii="PT Sans" w:cs="PT Sans" w:eastAsia="PT Sans" w:hAnsi="PT Sans"/>
                <w:i w:val="1"/>
                <w:iCs w:val="1"/>
                <w:rtl w:val="0"/>
              </w:rPr>
              <w:t xml:space="preserve">Francia nyelvtan magyaroknak</w:t>
            </w:r>
            <w:r w:rsidDel="00000000" w:rsidR="00000000" w:rsidRPr="00000000">
              <w:rPr>
                <w:rFonts w:ascii="PT Sans" w:cs="PT Sans" w:eastAsia="PT Sans" w:hAnsi="PT Sans"/>
                <w:rtl w:val="0"/>
              </w:rPr>
              <w:t xml:space="preserve">. Budapest: Pont Nádor. ISBN 9630371685.</w:t>
            </w:r>
          </w:p>
          <w:p w:rsidR="00000000" w:rsidDel="00000000" w:rsidP="00000000" w:rsidRDefault="00000000" w:rsidRPr="00000000" w14:paraId="00000020">
            <w:pPr>
              <w:jc w:val="both"/>
              <w:rPr>
                <w:rFonts w:ascii="PT Sans" w:cs="PT Sans" w:eastAsia="PT Sans" w:hAnsi="PT Sans"/>
              </w:rPr>
            </w:pPr>
            <w:r w:rsidDel="00000000" w:rsidR="00000000" w:rsidRPr="00000000">
              <w:rPr>
                <w:rFonts w:ascii="PT Sans" w:cs="PT Sans" w:eastAsia="PT Sans" w:hAnsi="PT Sans"/>
                <w:rtl w:val="0"/>
              </w:rPr>
              <w:t xml:space="preserve">Berthet, Annie – Hugot, Catherine – Kizirian, Véronique M. – Sampsonis, Béatrix – Waendendries, Monique (2006): </w:t>
            </w:r>
            <w:r w:rsidDel="00000000" w:rsidR="00000000" w:rsidRPr="00000000">
              <w:rPr>
                <w:rFonts w:ascii="PT Sans" w:cs="PT Sans" w:eastAsia="PT Sans" w:hAnsi="PT Sans"/>
                <w:i w:val="1"/>
                <w:iCs w:val="1"/>
                <w:rtl w:val="0"/>
              </w:rPr>
              <w:t xml:space="preserve">Alter Ego 1. Livre de l’élève</w:t>
            </w:r>
            <w:r w:rsidDel="00000000" w:rsidR="00000000" w:rsidRPr="00000000">
              <w:rPr>
                <w:rFonts w:ascii="PT Sans" w:cs="PT Sans" w:eastAsia="PT Sans" w:hAnsi="PT Sans"/>
                <w:rtl w:val="0"/>
              </w:rPr>
              <w:t xml:space="preserve">. Paris: Hachette. ISBN 9782011554208.</w:t>
            </w:r>
          </w:p>
          <w:p w:rsidR="00000000" w:rsidDel="00000000" w:rsidP="00000000" w:rsidRDefault="00000000" w:rsidRPr="00000000" w14:paraId="00000021">
            <w:pPr>
              <w:jc w:val="both"/>
              <w:rPr>
                <w:rFonts w:ascii="PT Sans" w:cs="PT Sans" w:eastAsia="PT Sans" w:hAnsi="PT Sans"/>
              </w:rPr>
            </w:pPr>
            <w:r w:rsidDel="00000000" w:rsidR="00000000" w:rsidRPr="00000000">
              <w:rPr>
                <w:rFonts w:ascii="PT Sans" w:cs="PT Sans" w:eastAsia="PT Sans" w:hAnsi="PT Sans"/>
                <w:rtl w:val="0"/>
              </w:rPr>
              <w:t xml:space="preserve">Herczeg Gyula (1970): </w:t>
            </w:r>
            <w:r w:rsidDel="00000000" w:rsidR="00000000" w:rsidRPr="00000000">
              <w:rPr>
                <w:rFonts w:ascii="PT Sans" w:cs="PT Sans" w:eastAsia="PT Sans" w:hAnsi="PT Sans"/>
                <w:i w:val="1"/>
                <w:iCs w:val="1"/>
                <w:rtl w:val="0"/>
              </w:rPr>
              <w:t xml:space="preserve">Olasz leíró nyelvtan</w:t>
            </w:r>
            <w:r w:rsidDel="00000000" w:rsidR="00000000" w:rsidRPr="00000000">
              <w:rPr>
                <w:rFonts w:ascii="PT Sans" w:cs="PT Sans" w:eastAsia="PT Sans" w:hAnsi="PT Sans"/>
                <w:rtl w:val="0"/>
              </w:rPr>
              <w:t xml:space="preserve">. Budapest: Terra. ISBN 9789630579414.</w:t>
            </w:r>
          </w:p>
          <w:p w:rsidR="00000000" w:rsidDel="00000000" w:rsidP="00000000" w:rsidRDefault="00000000" w:rsidRPr="00000000" w14:paraId="00000022">
            <w:pPr>
              <w:jc w:val="both"/>
              <w:rPr>
                <w:rFonts w:ascii="PT Sans" w:cs="PT Sans" w:eastAsia="PT Sans" w:hAnsi="PT Sans"/>
              </w:rPr>
            </w:pPr>
            <w:r w:rsidDel="00000000" w:rsidR="00000000" w:rsidRPr="00000000">
              <w:rPr>
                <w:rFonts w:ascii="PT Sans" w:cs="PT Sans" w:eastAsia="PT Sans" w:hAnsi="PT Sans"/>
                <w:rtl w:val="0"/>
              </w:rPr>
              <w:t xml:space="preserve">Marin, Telis – Magnelli, Sandro (2009): </w:t>
            </w:r>
            <w:r w:rsidDel="00000000" w:rsidR="00000000" w:rsidRPr="00000000">
              <w:rPr>
                <w:rFonts w:ascii="PT Sans" w:cs="PT Sans" w:eastAsia="PT Sans" w:hAnsi="PT Sans"/>
                <w:i w:val="1"/>
                <w:iCs w:val="1"/>
                <w:rtl w:val="0"/>
              </w:rPr>
              <w:t xml:space="preserve">Nuovo Progetto Italiano 1.</w:t>
            </w:r>
            <w:r w:rsidDel="00000000" w:rsidR="00000000" w:rsidRPr="00000000">
              <w:rPr>
                <w:rFonts w:ascii="PT Sans" w:cs="PT Sans" w:eastAsia="PT Sans" w:hAnsi="PT Sans"/>
                <w:rtl w:val="0"/>
              </w:rPr>
              <w:t xml:space="preserve"> Roma: Edilingua. ISBN 9789606632242.</w:t>
            </w:r>
          </w:p>
          <w:p w:rsidR="00000000" w:rsidDel="00000000" w:rsidP="00000000" w:rsidRDefault="00000000" w:rsidRPr="00000000" w14:paraId="00000023">
            <w:pPr>
              <w:jc w:val="both"/>
              <w:rPr>
                <w:rFonts w:ascii="PT Sans" w:cs="PT Sans" w:eastAsia="PT Sans" w:hAnsi="PT Sans"/>
              </w:rPr>
            </w:pPr>
            <w:r w:rsidDel="00000000" w:rsidR="00000000" w:rsidRPr="00000000">
              <w:rPr>
                <w:rFonts w:ascii="PT Sans" w:cs="PT Sans" w:eastAsia="PT Sans" w:hAnsi="PT Sans"/>
                <w:rtl w:val="0"/>
              </w:rPr>
              <w:t xml:space="preserve">Lizsicsár Éva (2009): </w:t>
            </w:r>
            <w:r w:rsidDel="00000000" w:rsidR="00000000" w:rsidRPr="00000000">
              <w:rPr>
                <w:rFonts w:ascii="PT Sans" w:cs="PT Sans" w:eastAsia="PT Sans" w:hAnsi="PT Sans"/>
                <w:i w:val="1"/>
                <w:iCs w:val="1"/>
                <w:rtl w:val="0"/>
              </w:rPr>
              <w:t xml:space="preserve">Spanyol leíró nyelvtan és nyelvtani gyakorlatok</w:t>
            </w:r>
            <w:r w:rsidDel="00000000" w:rsidR="00000000" w:rsidRPr="00000000">
              <w:rPr>
                <w:rFonts w:ascii="PT Sans" w:cs="PT Sans" w:eastAsia="PT Sans" w:hAnsi="PT Sans"/>
                <w:rtl w:val="0"/>
              </w:rPr>
              <w:t xml:space="preserve">. Budapest: Eötvös József Könyvkiadó Bt. ISBN 9789639955011.</w:t>
            </w:r>
          </w:p>
          <w:p w:rsidR="00000000" w:rsidDel="00000000" w:rsidP="00000000" w:rsidRDefault="00000000" w:rsidRPr="00000000" w14:paraId="00000024">
            <w:pPr>
              <w:jc w:val="both"/>
              <w:rPr/>
            </w:pPr>
            <w:r w:rsidDel="00000000" w:rsidR="00000000" w:rsidRPr="00000000">
              <w:rPr>
                <w:rFonts w:ascii="PT Sans" w:cs="PT Sans" w:eastAsia="PT Sans" w:hAnsi="PT Sans"/>
                <w:rtl w:val="0"/>
              </w:rPr>
              <w:t xml:space="preserve">Peris, Ernesto – Baulenas, Neus (2004): </w:t>
            </w:r>
            <w:r w:rsidDel="00000000" w:rsidR="00000000" w:rsidRPr="00000000">
              <w:rPr>
                <w:rFonts w:ascii="PT Sans" w:cs="PT Sans" w:eastAsia="PT Sans" w:hAnsi="PT Sans"/>
                <w:i w:val="1"/>
                <w:iCs w:val="1"/>
                <w:rtl w:val="0"/>
              </w:rPr>
              <w:t xml:space="preserve">Gente (tankönyvcsalád + munkafüzetek + CD-k)</w:t>
            </w:r>
            <w:r w:rsidDel="00000000" w:rsidR="00000000" w:rsidRPr="00000000">
              <w:rPr>
                <w:rFonts w:ascii="PT Sans" w:cs="PT Sans" w:eastAsia="PT Sans" w:hAnsi="PT Sans"/>
                <w:rtl w:val="0"/>
              </w:rPr>
              <w:t xml:space="preserve">. Budapest: Klett Kiadó. ISBN 9639572284</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 2-4 legfontosabb ajánlott felsorolása bibliográfiai adatokkal (szerző, cím, kiadás adatai, (esetleg oldalak),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jc w:val="both"/>
              <w:rPr>
                <w:rFonts w:ascii="PT Sans" w:cs="PT Sans" w:eastAsia="PT Sans" w:hAnsi="PT Sans"/>
              </w:rPr>
            </w:pPr>
            <w:r w:rsidDel="00000000" w:rsidR="00000000" w:rsidRPr="00000000">
              <w:rPr>
                <w:rFonts w:ascii="PT Sans" w:cs="PT Sans" w:eastAsia="PT Sans" w:hAnsi="PT Sans"/>
                <w:rtl w:val="0"/>
              </w:rPr>
              <w:t xml:space="preserve">Posner, Rebecca (1996): </w:t>
            </w:r>
            <w:r w:rsidDel="00000000" w:rsidR="00000000" w:rsidRPr="00000000">
              <w:rPr>
                <w:rFonts w:ascii="PT Sans" w:cs="PT Sans" w:eastAsia="PT Sans" w:hAnsi="PT Sans"/>
                <w:i w:val="1"/>
                <w:iCs w:val="1"/>
                <w:rtl w:val="0"/>
              </w:rPr>
              <w:t xml:space="preserve">The Romance Languages</w:t>
            </w:r>
            <w:r w:rsidDel="00000000" w:rsidR="00000000" w:rsidRPr="00000000">
              <w:rPr>
                <w:rFonts w:ascii="PT Sans" w:cs="PT Sans" w:eastAsia="PT Sans" w:hAnsi="PT Sans"/>
                <w:rtl w:val="0"/>
              </w:rPr>
              <w:t xml:space="preserve">. Cambridge: Cambridge University Press. </w:t>
            </w:r>
            <w:r w:rsidDel="00000000" w:rsidR="00000000" w:rsidRPr="00000000">
              <w:rPr>
                <w:rFonts w:ascii="Roboto" w:cs="Roboto" w:eastAsia="Roboto" w:hAnsi="Roboto"/>
                <w:color w:val="555555"/>
                <w:sz w:val="21"/>
                <w:szCs w:val="21"/>
                <w:highlight w:val="white"/>
                <w:rtl w:val="0"/>
              </w:rPr>
              <w:t xml:space="preserve">DOI:</w:t>
            </w:r>
            <w:hyperlink r:id="rId7">
              <w:r w:rsidDel="00000000" w:rsidR="00000000" w:rsidRPr="00000000">
                <w:rPr>
                  <w:rFonts w:ascii="Roboto" w:cs="Roboto" w:eastAsia="Roboto" w:hAnsi="Roboto"/>
                  <w:color w:val="1155cc"/>
                  <w:sz w:val="21"/>
                  <w:szCs w:val="21"/>
                  <w:u w:val="single"/>
                  <w:rtl w:val="0"/>
                </w:rPr>
                <w:t xml:space="preserve">10.1017/S0022226797237011</w:t>
              </w:r>
            </w:hyperlink>
            <w:r w:rsidDel="00000000" w:rsidR="00000000" w:rsidRPr="00000000">
              <w:rPr>
                <w:rtl w:val="0"/>
              </w:rPr>
            </w:r>
          </w:p>
          <w:p w:rsidR="00000000" w:rsidDel="00000000" w:rsidP="00000000" w:rsidRDefault="00000000" w:rsidRPr="00000000" w14:paraId="00000028">
            <w:pPr>
              <w:jc w:val="both"/>
              <w:rPr>
                <w:rFonts w:ascii="PT Sans" w:cs="PT Sans" w:eastAsia="PT Sans" w:hAnsi="PT Sans"/>
                <w:b w:val="1"/>
                <w:bCs w:val="1"/>
              </w:rPr>
            </w:pPr>
            <w:r w:rsidDel="00000000" w:rsidR="00000000" w:rsidRPr="00000000">
              <w:rPr>
                <w:color w:val="514a40"/>
                <w:sz w:val="22"/>
                <w:szCs w:val="22"/>
                <w:rtl w:val="0"/>
              </w:rPr>
              <w:t xml:space="preserve">Fodor István (szerk.) (1999): </w:t>
            </w:r>
            <w:r w:rsidDel="00000000" w:rsidR="00000000" w:rsidRPr="00000000">
              <w:rPr>
                <w:i w:val="1"/>
                <w:iCs w:val="1"/>
                <w:color w:val="514a40"/>
                <w:sz w:val="22"/>
                <w:szCs w:val="22"/>
                <w:rtl w:val="0"/>
              </w:rPr>
              <w:t xml:space="preserve">A világ nyelvei.</w:t>
            </w:r>
            <w:r w:rsidDel="00000000" w:rsidR="00000000" w:rsidRPr="00000000">
              <w:rPr>
                <w:color w:val="514a40"/>
                <w:sz w:val="22"/>
                <w:szCs w:val="22"/>
                <w:rtl w:val="0"/>
              </w:rPr>
              <w:t xml:space="preserve"> Budapest: Akadémiai kiadó. ISBN 9630575973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Elmélet-gyakorlat aránya: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Elméleti óra óraszáma: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óra óraszáma: 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alkalmazott oktatási módszerek:</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Kommunikatív nyelvoktatás (szituációs gyakorlatok, szerepjátékok)</w:t>
            </w:r>
          </w:p>
          <w:p w:rsidR="00000000" w:rsidDel="00000000" w:rsidP="00000000" w:rsidRDefault="00000000" w:rsidRPr="00000000" w14:paraId="0000002F">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Kontrasztív módszer (összehasonlítás a főszakiránnyal)</w:t>
            </w:r>
          </w:p>
          <w:p w:rsidR="00000000" w:rsidDel="00000000" w:rsidP="00000000" w:rsidRDefault="00000000" w:rsidRPr="00000000" w14:paraId="00000030">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Kooperatív tanulás (páros és csoportmunka)</w:t>
            </w:r>
          </w:p>
          <w:p w:rsidR="00000000" w:rsidDel="00000000" w:rsidP="00000000" w:rsidRDefault="00000000" w:rsidRPr="00000000" w14:paraId="00000031">
            <w:pPr>
              <w:numPr>
                <w:ilvl w:val="0"/>
                <w:numId w:val="1"/>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Digitális tananyagok használata (online feladatok, hanganyagok)</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módja: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gyakorlati jegy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Az értékelés kritériuma: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Folyamatos órai munka és aktivitás (részvétel, feladatmegoldás)</w:t>
            </w:r>
          </w:p>
          <w:p w:rsidR="00000000" w:rsidDel="00000000" w:rsidP="00000000" w:rsidRDefault="00000000" w:rsidRPr="00000000" w14:paraId="00000038">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Rövid írásbeli dolgozatok (nyelvtani és lexikai ismeretek)</w:t>
            </w:r>
          </w:p>
          <w:p w:rsidR="00000000" w:rsidDel="00000000" w:rsidP="00000000" w:rsidRDefault="00000000" w:rsidRPr="00000000" w14:paraId="00000039">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Szóbeli teljesítmény (kommunikációs készség)</w:t>
            </w:r>
          </w:p>
          <w:p w:rsidR="00000000" w:rsidDel="00000000" w:rsidP="00000000" w:rsidRDefault="00000000" w:rsidRPr="00000000" w14:paraId="0000003A">
            <w:pPr>
              <w:numPr>
                <w:ilvl w:val="0"/>
                <w:numId w:val="16"/>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Zárthelyi dolgozat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Miként járul hozzá a tantárgy a KKK-ban megjelölt kompetenciaelemek megszerzéséhez. Mutassa be a tantárgyleírásban, hogy a KKK-ban megjelölt kompetenciaelemek miként teljesülnek/teljesíthetők (</w:t>
            </w:r>
            <w:r w:rsidDel="00000000" w:rsidR="00000000" w:rsidRPr="00000000">
              <w:rPr>
                <w:rFonts w:ascii="PT Sans" w:cs="PT Sans" w:eastAsia="PT Sans" w:hAnsi="PT Sans"/>
                <w:i w:val="1"/>
                <w:iCs w:val="1"/>
                <w:rtl w:val="0"/>
              </w:rPr>
              <w:t xml:space="preserve">nem a KKK kompetencia-elemeinek másolását kérjük</w:t>
            </w:r>
            <w:r w:rsidDel="00000000" w:rsidR="00000000" w:rsidRPr="00000000">
              <w:rPr>
                <w:rFonts w:ascii="PT Sans" w:cs="PT Sans" w:eastAsia="PT Sans" w:hAnsi="PT Sans"/>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Tudás:</w:t>
            </w:r>
          </w:p>
          <w:p w:rsidR="00000000" w:rsidDel="00000000" w:rsidP="00000000" w:rsidRDefault="00000000" w:rsidRPr="00000000" w14:paraId="0000003E">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A hallgató átfogóbb képet kap az újlatin nyelvek rendszeréről, nemcsak egyetlen nyelv perspektívájából.</w:t>
            </w:r>
          </w:p>
          <w:p w:rsidR="00000000" w:rsidDel="00000000" w:rsidP="00000000" w:rsidRDefault="00000000" w:rsidRPr="00000000" w14:paraId="0000003F">
            <w:pPr>
              <w:numPr>
                <w:ilvl w:val="0"/>
                <w:numId w:val="8"/>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Megérti a nyelvi és kulturális jelenségek összefüggéseit.</w:t>
            </w:r>
          </w:p>
          <w:p w:rsidR="00000000" w:rsidDel="00000000" w:rsidP="00000000" w:rsidRDefault="00000000" w:rsidRPr="00000000" w14:paraId="00000040">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Képességek:</w:t>
            </w:r>
          </w:p>
          <w:p w:rsidR="00000000" w:rsidDel="00000000" w:rsidP="00000000" w:rsidRDefault="00000000" w:rsidRPr="00000000" w14:paraId="00000041">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lesz alapszintű kommunikációra egy új nyelven, ami erősíti általános nyelvi kompetenciáját.</w:t>
            </w:r>
          </w:p>
          <w:p w:rsidR="00000000" w:rsidDel="00000000" w:rsidP="00000000" w:rsidRDefault="00000000" w:rsidRPr="00000000" w14:paraId="00000042">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Fejlődik a kontrasztív nyelvi elemző képessége (különbségek és hasonlóságok felismerése).</w:t>
            </w:r>
          </w:p>
          <w:p w:rsidR="00000000" w:rsidDel="00000000" w:rsidP="00000000" w:rsidRDefault="00000000" w:rsidRPr="00000000" w14:paraId="00000043">
            <w:pPr>
              <w:numPr>
                <w:ilvl w:val="0"/>
                <w:numId w:val="7"/>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Tudatosabban alkalmaz különböző nyelvtanulási stratégiákat.</w:t>
            </w:r>
          </w:p>
          <w:p w:rsidR="00000000" w:rsidDel="00000000" w:rsidP="00000000" w:rsidRDefault="00000000" w:rsidRPr="00000000" w14:paraId="00000044">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Attitűd:</w:t>
            </w:r>
          </w:p>
          <w:p w:rsidR="00000000" w:rsidDel="00000000" w:rsidP="00000000" w:rsidRDefault="00000000" w:rsidRPr="00000000" w14:paraId="00000045">
            <w:pPr>
              <w:numPr>
                <w:ilvl w:val="0"/>
                <w:numId w:val="1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Nyitottabbá válik más újlatin nyelvek és kultúrák iránt.</w:t>
            </w:r>
          </w:p>
          <w:p w:rsidR="00000000" w:rsidDel="00000000" w:rsidP="00000000" w:rsidRDefault="00000000" w:rsidRPr="00000000" w14:paraId="00000046">
            <w:pPr>
              <w:numPr>
                <w:ilvl w:val="0"/>
                <w:numId w:val="1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Motivált lesz további nyelvek elsajátítására.</w:t>
            </w:r>
          </w:p>
          <w:p w:rsidR="00000000" w:rsidDel="00000000" w:rsidP="00000000" w:rsidRDefault="00000000" w:rsidRPr="00000000" w14:paraId="00000047">
            <w:pPr>
              <w:numPr>
                <w:ilvl w:val="0"/>
                <w:numId w:val="1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Erősödik az interkulturális érzékenysége.</w:t>
            </w:r>
          </w:p>
          <w:p w:rsidR="00000000" w:rsidDel="00000000" w:rsidP="00000000" w:rsidRDefault="00000000" w:rsidRPr="00000000" w14:paraId="0000004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Autonómia és felelősség:</w:t>
            </w:r>
          </w:p>
          <w:p w:rsidR="00000000" w:rsidDel="00000000" w:rsidP="00000000" w:rsidRDefault="00000000" w:rsidRPr="00000000" w14:paraId="00000049">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Kialakul az önálló nyelvtanulás képessége.</w:t>
            </w:r>
          </w:p>
          <w:p w:rsidR="00000000" w:rsidDel="00000000" w:rsidP="00000000" w:rsidRDefault="00000000" w:rsidRPr="00000000" w14:paraId="0000004A">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Felelősséget vállal saját nyelvi fejlődéséért.</w:t>
            </w:r>
          </w:p>
          <w:p w:rsidR="00000000" w:rsidDel="00000000" w:rsidP="00000000" w:rsidRDefault="00000000" w:rsidRPr="00000000" w14:paraId="0000004B">
            <w:pPr>
              <w:numPr>
                <w:ilvl w:val="0"/>
                <w:numId w:val="2"/>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Képes együttműködni másokkal nyelvi feladatok során</w:t>
            </w:r>
            <w:r w:rsidDel="00000000" w:rsidR="00000000" w:rsidRPr="00000000">
              <w:rPr>
                <w:rtl w:val="0"/>
              </w:rPr>
            </w:r>
          </w:p>
        </w:tc>
      </w:tr>
    </w:tbl>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spacing w:after="160" w:line="259" w:lineRule="auto"/>
        <w:rPr/>
      </w:pPr>
      <w:r w:rsidDel="00000000" w:rsidR="00000000" w:rsidRPr="00000000">
        <w:br w:type="page"/>
      </w:r>
      <w:r w:rsidDel="00000000" w:rsidR="00000000" w:rsidRPr="00000000">
        <w:rPr>
          <w:rtl w:val="0"/>
        </w:rPr>
      </w:r>
    </w:p>
    <w:tbl>
      <w:tblPr>
        <w:tblStyle w:val="Table2"/>
        <w:tblpPr w:leftFromText="141" w:rightFromText="141" w:topFromText="0" w:bottomFromText="0" w:vertAnchor="text" w:horzAnchor="text" w:tblpX="1139" w:tblpY="0"/>
        <w:tblW w:w="963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97"/>
        <w:gridCol w:w="3119"/>
        <w:gridCol w:w="3118"/>
        <w:tblGridChange w:id="0">
          <w:tblGrid>
            <w:gridCol w:w="3397"/>
            <w:gridCol w:w="3119"/>
            <w:gridCol w:w="3118"/>
          </w:tblGrid>
        </w:tblGridChange>
      </w:tblGrid>
      <w:tr>
        <w:trPr>
          <w:cantSplit w:val="0"/>
          <w:trHeight w:val="2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tabs>
                <w:tab w:val="left" w:leader="none" w:pos="3780"/>
              </w:tabs>
              <w:rPr>
                <w:rFonts w:ascii="PT Sans" w:cs="PT Sans" w:eastAsia="PT Sans" w:hAnsi="PT Sans"/>
                <w:highlight w:val="yellow"/>
              </w:rPr>
            </w:pPr>
            <w:r w:rsidDel="00000000" w:rsidR="00000000" w:rsidRPr="00000000">
              <w:rPr>
                <w:rFonts w:ascii="PT Sans" w:cs="PT Sans" w:eastAsia="PT Sans" w:hAnsi="PT Sans"/>
                <w:rtl w:val="0"/>
              </w:rPr>
              <w:t xml:space="preserve">Subject name: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BBNRS11100 Second Romance Language 2.</w:t>
            </w:r>
          </w:p>
        </w:tc>
      </w:tr>
      <w:tr>
        <w:trPr>
          <w:cantSplit w:val="0"/>
          <w:trHeight w:val="13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Subject coordinator: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3">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Yilmaz-Mészáros Enikő</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jc w:val="both"/>
              <w:rPr>
                <w:rFonts w:ascii="PT Sans" w:cs="PT Sans" w:eastAsia="PT Sans" w:hAnsi="PT Sans"/>
              </w:rPr>
            </w:pPr>
            <w:r w:rsidDel="00000000" w:rsidR="00000000" w:rsidRPr="00000000">
              <w:rPr>
                <w:rFonts w:ascii="PT Sans" w:cs="PT Sans" w:eastAsia="PT Sans" w:hAnsi="PT Sans"/>
                <w:rtl w:val="0"/>
              </w:rPr>
              <w:t xml:space="preserve">Lecturer(s) of the subject:</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Dr. Yilmaz-Mészáros Enikő, Dr. Miguel García Viñolo, Carles Bartual Martín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jc w:val="both"/>
              <w:rPr>
                <w:rFonts w:ascii="PT Sans" w:cs="PT Sans" w:eastAsia="PT Sans" w:hAnsi="PT Sans"/>
              </w:rPr>
            </w:pPr>
            <w:r w:rsidDel="00000000" w:rsidR="00000000" w:rsidRPr="00000000">
              <w:rPr>
                <w:rFonts w:ascii="PT Sans" w:cs="PT Sans" w:eastAsia="PT Sans" w:hAnsi="PT Sans"/>
                <w:rtl w:val="0"/>
              </w:rPr>
              <w:t xml:space="preserve">Brief subject description: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jc w:val="both"/>
              <w:rPr>
                <w:rFonts w:ascii="Calibri" w:cs="Calibri" w:eastAsia="Calibri" w:hAnsi="Calibri"/>
              </w:rPr>
            </w:pPr>
            <w:r w:rsidDel="00000000" w:rsidR="00000000" w:rsidRPr="00000000">
              <w:rPr>
                <w:rFonts w:ascii="PT Sans" w:cs="PT Sans" w:eastAsia="PT Sans" w:hAnsi="PT Sans"/>
                <w:rtl w:val="0"/>
              </w:rPr>
              <w:t xml:space="preserve">The aim of the course is for students majoring in Romance studies to become familiar, alongside their main language, with the basics of another (chosen) Romance language and to be able to use it at a basic level, while also becoming aware of the linguistic and cultural connections among Romance languages.</w:t>
            </w:r>
            <w:r w:rsidDel="00000000" w:rsidR="00000000" w:rsidRPr="00000000">
              <w:rPr>
                <w:rtl w:val="0"/>
              </w:rPr>
            </w:r>
          </w:p>
        </w:tc>
      </w:tr>
      <w:tr>
        <w:trPr>
          <w:cantSplit w:val="0"/>
          <w:trHeight w:val="57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Theoretical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More complex use of tenses and verb conjugations (e.g., past tense aspects, conditional mood)</w:t>
            </w:r>
          </w:p>
          <w:p w:rsidR="00000000" w:rsidDel="00000000" w:rsidP="00000000" w:rsidRDefault="00000000" w:rsidRPr="00000000" w14:paraId="0000005D">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Refined use of pronouns, prepositions, conjunctions, and adverbs</w:t>
            </w:r>
          </w:p>
          <w:p w:rsidR="00000000" w:rsidDel="00000000" w:rsidP="00000000" w:rsidRDefault="00000000" w:rsidRPr="00000000" w14:paraId="0000005E">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Sentence structures: complex sentences, subordinate clauses, logic of connectors</w:t>
            </w:r>
          </w:p>
          <w:p w:rsidR="00000000" w:rsidDel="00000000" w:rsidP="00000000" w:rsidRDefault="00000000" w:rsidRPr="00000000" w14:paraId="0000005F">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Expanded vocabulary fields</w:t>
            </w:r>
          </w:p>
          <w:p w:rsidR="00000000" w:rsidDel="00000000" w:rsidP="00000000" w:rsidRDefault="00000000" w:rsidRPr="00000000" w14:paraId="00000060">
            <w:pPr>
              <w:numPr>
                <w:ilvl w:val="0"/>
                <w:numId w:val="4"/>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Basic collocations and common expressions</w:t>
            </w:r>
          </w:p>
        </w:tc>
      </w:tr>
      <w:tr>
        <w:trPr>
          <w:cantSplit w:val="0"/>
          <w:trHeight w:val="5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Practical knowledge to be acquired:</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Short dialogues in more complex situations (e.g., at the doctor’s, traveling, shopping, official procedures)</w:t>
            </w:r>
          </w:p>
          <w:p w:rsidR="00000000" w:rsidDel="00000000" w:rsidP="00000000" w:rsidRDefault="00000000" w:rsidRPr="00000000" w14:paraId="00000064">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Expressing opinions, preferences, and simple reasoning</w:t>
            </w:r>
          </w:p>
          <w:p w:rsidR="00000000" w:rsidDel="00000000" w:rsidP="00000000" w:rsidRDefault="00000000" w:rsidRPr="00000000" w14:paraId="00000065">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Short letters, messages, and emails</w:t>
            </w:r>
          </w:p>
          <w:p w:rsidR="00000000" w:rsidDel="00000000" w:rsidP="00000000" w:rsidRDefault="00000000" w:rsidRPr="00000000" w14:paraId="00000066">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Simple descriptive and narrative texts (e.g., about family, daily routines, travel)</w:t>
            </w:r>
          </w:p>
          <w:p w:rsidR="00000000" w:rsidDel="00000000" w:rsidP="00000000" w:rsidRDefault="00000000" w:rsidRPr="00000000" w14:paraId="00000067">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Processing slightly longer authentic texts</w:t>
            </w:r>
          </w:p>
          <w:p w:rsidR="00000000" w:rsidDel="00000000" w:rsidP="00000000" w:rsidRDefault="00000000" w:rsidRPr="00000000" w14:paraId="00000068">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Error correction, asking for clarification, requesting repetition</w:t>
            </w:r>
          </w:p>
          <w:p w:rsidR="00000000" w:rsidDel="00000000" w:rsidP="00000000" w:rsidRDefault="00000000" w:rsidRPr="00000000" w14:paraId="00000069">
            <w:pPr>
              <w:numPr>
                <w:ilvl w:val="0"/>
                <w:numId w:val="9"/>
              </w:numPr>
              <w:tabs>
                <w:tab w:val="left" w:leader="none" w:pos="3780"/>
              </w:tabs>
              <w:ind w:left="720" w:hanging="360"/>
              <w:rPr>
                <w:rFonts w:ascii="PT Sans" w:cs="PT Sans" w:eastAsia="PT Sans" w:hAnsi="PT Sans"/>
                <w:u w:val="none"/>
              </w:rPr>
            </w:pPr>
            <w:r w:rsidDel="00000000" w:rsidR="00000000" w:rsidRPr="00000000">
              <w:rPr>
                <w:rFonts w:ascii="PT Sans" w:cs="PT Sans" w:eastAsia="PT Sans" w:hAnsi="PT Sans"/>
                <w:rtl w:val="0"/>
              </w:rPr>
              <w:t xml:space="preserve">Oral paraphrasing, use of synonyms, simple rewording</w:t>
            </w:r>
          </w:p>
        </w:tc>
      </w:tr>
      <w:tr>
        <w:trPr>
          <w:cantSplit w:val="0"/>
          <w:trHeight w:val="15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required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jc w:val="both"/>
              <w:rPr>
                <w:rFonts w:ascii="PT Sans" w:cs="PT Sans" w:eastAsia="PT Sans" w:hAnsi="PT Sans"/>
              </w:rPr>
            </w:pPr>
            <w:r w:rsidDel="00000000" w:rsidR="00000000" w:rsidRPr="00000000">
              <w:rPr>
                <w:rFonts w:ascii="PT Sans" w:cs="PT Sans" w:eastAsia="PT Sans" w:hAnsi="PT Sans"/>
                <w:rtl w:val="0"/>
              </w:rPr>
              <w:t xml:space="preserve">Karakai Imre (1999): </w:t>
            </w:r>
            <w:r w:rsidDel="00000000" w:rsidR="00000000" w:rsidRPr="00000000">
              <w:rPr>
                <w:rFonts w:ascii="PT Sans" w:cs="PT Sans" w:eastAsia="PT Sans" w:hAnsi="PT Sans"/>
                <w:i w:val="1"/>
                <w:iCs w:val="1"/>
                <w:rtl w:val="0"/>
              </w:rPr>
              <w:t xml:space="preserve">Francia nyelvtan magyaroknak</w:t>
            </w:r>
            <w:r w:rsidDel="00000000" w:rsidR="00000000" w:rsidRPr="00000000">
              <w:rPr>
                <w:rFonts w:ascii="PT Sans" w:cs="PT Sans" w:eastAsia="PT Sans" w:hAnsi="PT Sans"/>
                <w:rtl w:val="0"/>
              </w:rPr>
              <w:t xml:space="preserve">. Budapest: Pont Nádor. ISBN 9630371685.</w:t>
            </w:r>
          </w:p>
          <w:p w:rsidR="00000000" w:rsidDel="00000000" w:rsidP="00000000" w:rsidRDefault="00000000" w:rsidRPr="00000000" w14:paraId="0000006D">
            <w:pPr>
              <w:jc w:val="both"/>
              <w:rPr>
                <w:rFonts w:ascii="PT Sans" w:cs="PT Sans" w:eastAsia="PT Sans" w:hAnsi="PT Sans"/>
              </w:rPr>
            </w:pPr>
            <w:r w:rsidDel="00000000" w:rsidR="00000000" w:rsidRPr="00000000">
              <w:rPr>
                <w:rFonts w:ascii="PT Sans" w:cs="PT Sans" w:eastAsia="PT Sans" w:hAnsi="PT Sans"/>
                <w:rtl w:val="0"/>
              </w:rPr>
              <w:t xml:space="preserve">Berthet, Annie – Hugot, Catherine – Kizirian, Véronique M. – Sampsonis, Béatrix – Waendendries, Monique (2006): </w:t>
            </w:r>
            <w:r w:rsidDel="00000000" w:rsidR="00000000" w:rsidRPr="00000000">
              <w:rPr>
                <w:rFonts w:ascii="PT Sans" w:cs="PT Sans" w:eastAsia="PT Sans" w:hAnsi="PT Sans"/>
                <w:i w:val="1"/>
                <w:iCs w:val="1"/>
                <w:rtl w:val="0"/>
              </w:rPr>
              <w:t xml:space="preserve">Alter Ego 1. Livre de l’élève</w:t>
            </w:r>
            <w:r w:rsidDel="00000000" w:rsidR="00000000" w:rsidRPr="00000000">
              <w:rPr>
                <w:rFonts w:ascii="PT Sans" w:cs="PT Sans" w:eastAsia="PT Sans" w:hAnsi="PT Sans"/>
                <w:rtl w:val="0"/>
              </w:rPr>
              <w:t xml:space="preserve">. Paris: Hachette. ISBN 9782011554208.</w:t>
            </w:r>
          </w:p>
          <w:p w:rsidR="00000000" w:rsidDel="00000000" w:rsidP="00000000" w:rsidRDefault="00000000" w:rsidRPr="00000000" w14:paraId="0000006E">
            <w:pPr>
              <w:jc w:val="both"/>
              <w:rPr>
                <w:rFonts w:ascii="PT Sans" w:cs="PT Sans" w:eastAsia="PT Sans" w:hAnsi="PT Sans"/>
              </w:rPr>
            </w:pPr>
            <w:r w:rsidDel="00000000" w:rsidR="00000000" w:rsidRPr="00000000">
              <w:rPr>
                <w:rFonts w:ascii="PT Sans" w:cs="PT Sans" w:eastAsia="PT Sans" w:hAnsi="PT Sans"/>
                <w:rtl w:val="0"/>
              </w:rPr>
              <w:t xml:space="preserve">Herczeg Gyula (1970): </w:t>
            </w:r>
            <w:r w:rsidDel="00000000" w:rsidR="00000000" w:rsidRPr="00000000">
              <w:rPr>
                <w:rFonts w:ascii="PT Sans" w:cs="PT Sans" w:eastAsia="PT Sans" w:hAnsi="PT Sans"/>
                <w:i w:val="1"/>
                <w:iCs w:val="1"/>
                <w:rtl w:val="0"/>
              </w:rPr>
              <w:t xml:space="preserve">Olasz leíró nyelvtan</w:t>
            </w:r>
            <w:r w:rsidDel="00000000" w:rsidR="00000000" w:rsidRPr="00000000">
              <w:rPr>
                <w:rFonts w:ascii="PT Sans" w:cs="PT Sans" w:eastAsia="PT Sans" w:hAnsi="PT Sans"/>
                <w:rtl w:val="0"/>
              </w:rPr>
              <w:t xml:space="preserve">. Budapest: Terra. ISBN 9789630579414.</w:t>
            </w:r>
          </w:p>
          <w:p w:rsidR="00000000" w:rsidDel="00000000" w:rsidP="00000000" w:rsidRDefault="00000000" w:rsidRPr="00000000" w14:paraId="0000006F">
            <w:pPr>
              <w:jc w:val="both"/>
              <w:rPr>
                <w:rFonts w:ascii="PT Sans" w:cs="PT Sans" w:eastAsia="PT Sans" w:hAnsi="PT Sans"/>
              </w:rPr>
            </w:pPr>
            <w:r w:rsidDel="00000000" w:rsidR="00000000" w:rsidRPr="00000000">
              <w:rPr>
                <w:rFonts w:ascii="PT Sans" w:cs="PT Sans" w:eastAsia="PT Sans" w:hAnsi="PT Sans"/>
                <w:rtl w:val="0"/>
              </w:rPr>
              <w:t xml:space="preserve">Marin, Telis – Magnelli, Sandro (2009): </w:t>
            </w:r>
            <w:r w:rsidDel="00000000" w:rsidR="00000000" w:rsidRPr="00000000">
              <w:rPr>
                <w:rFonts w:ascii="PT Sans" w:cs="PT Sans" w:eastAsia="PT Sans" w:hAnsi="PT Sans"/>
                <w:i w:val="1"/>
                <w:iCs w:val="1"/>
                <w:rtl w:val="0"/>
              </w:rPr>
              <w:t xml:space="preserve">Nuovo Progetto Italiano 1.</w:t>
            </w:r>
            <w:r w:rsidDel="00000000" w:rsidR="00000000" w:rsidRPr="00000000">
              <w:rPr>
                <w:rFonts w:ascii="PT Sans" w:cs="PT Sans" w:eastAsia="PT Sans" w:hAnsi="PT Sans"/>
                <w:rtl w:val="0"/>
              </w:rPr>
              <w:t xml:space="preserve"> Roma: Edilingua. ISBN 9789606632242.</w:t>
            </w:r>
          </w:p>
          <w:p w:rsidR="00000000" w:rsidDel="00000000" w:rsidP="00000000" w:rsidRDefault="00000000" w:rsidRPr="00000000" w14:paraId="00000070">
            <w:pPr>
              <w:jc w:val="both"/>
              <w:rPr>
                <w:rFonts w:ascii="PT Sans" w:cs="PT Sans" w:eastAsia="PT Sans" w:hAnsi="PT Sans"/>
              </w:rPr>
            </w:pPr>
            <w:r w:rsidDel="00000000" w:rsidR="00000000" w:rsidRPr="00000000">
              <w:rPr>
                <w:rFonts w:ascii="PT Sans" w:cs="PT Sans" w:eastAsia="PT Sans" w:hAnsi="PT Sans"/>
                <w:rtl w:val="0"/>
              </w:rPr>
              <w:t xml:space="preserve">Lizsicsár Éva (2009): </w:t>
            </w:r>
            <w:r w:rsidDel="00000000" w:rsidR="00000000" w:rsidRPr="00000000">
              <w:rPr>
                <w:rFonts w:ascii="PT Sans" w:cs="PT Sans" w:eastAsia="PT Sans" w:hAnsi="PT Sans"/>
                <w:i w:val="1"/>
                <w:iCs w:val="1"/>
                <w:rtl w:val="0"/>
              </w:rPr>
              <w:t xml:space="preserve">Spanyol leíró nyelvtan és nyelvtani gyakorlatok</w:t>
            </w:r>
            <w:r w:rsidDel="00000000" w:rsidR="00000000" w:rsidRPr="00000000">
              <w:rPr>
                <w:rFonts w:ascii="PT Sans" w:cs="PT Sans" w:eastAsia="PT Sans" w:hAnsi="PT Sans"/>
                <w:rtl w:val="0"/>
              </w:rPr>
              <w:t xml:space="preserve">. Budapest: Eötvös József Könyvkiadó Bt. ISBN 9789639955011.</w:t>
            </w:r>
          </w:p>
          <w:p w:rsidR="00000000" w:rsidDel="00000000" w:rsidP="00000000" w:rsidRDefault="00000000" w:rsidRPr="00000000" w14:paraId="00000071">
            <w:pPr>
              <w:jc w:val="both"/>
              <w:rPr>
                <w:rFonts w:ascii="Calibri" w:cs="Calibri" w:eastAsia="Calibri" w:hAnsi="Calibri"/>
              </w:rPr>
            </w:pPr>
            <w:r w:rsidDel="00000000" w:rsidR="00000000" w:rsidRPr="00000000">
              <w:rPr>
                <w:rFonts w:ascii="PT Sans" w:cs="PT Sans" w:eastAsia="PT Sans" w:hAnsi="PT Sans"/>
                <w:rtl w:val="0"/>
              </w:rPr>
              <w:t xml:space="preserve">Peris, Ernesto – Baulenas, Neus (2004): </w:t>
            </w:r>
            <w:r w:rsidDel="00000000" w:rsidR="00000000" w:rsidRPr="00000000">
              <w:rPr>
                <w:rFonts w:ascii="PT Sans" w:cs="PT Sans" w:eastAsia="PT Sans" w:hAnsi="PT Sans"/>
                <w:i w:val="1"/>
                <w:iCs w:val="1"/>
                <w:rtl w:val="0"/>
              </w:rPr>
              <w:t xml:space="preserve">Gente (tankönyvcsalád + munkafüzetek + CD-k)</w:t>
            </w:r>
            <w:r w:rsidDel="00000000" w:rsidR="00000000" w:rsidRPr="00000000">
              <w:rPr>
                <w:rFonts w:ascii="PT Sans" w:cs="PT Sans" w:eastAsia="PT Sans" w:hAnsi="PT Sans"/>
                <w:rtl w:val="0"/>
              </w:rPr>
              <w:t xml:space="preserve">. Budapest: Klett Kiadó. ISBN 9639572284</w:t>
            </w:r>
            <w:r w:rsidDel="00000000" w:rsidR="00000000" w:rsidRPr="00000000">
              <w:rPr>
                <w:rtl w:val="0"/>
              </w:rPr>
            </w:r>
          </w:p>
        </w:tc>
      </w:tr>
      <w:tr>
        <w:trPr>
          <w:cantSplit w:val="0"/>
          <w:trHeight w:val="155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List of the most important recommended literature (2–4 pieces) with bibliographical details (author, title, edition or specific pages, ISBN)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4">
            <w:pPr>
              <w:jc w:val="both"/>
              <w:rPr>
                <w:rFonts w:ascii="PT Sans" w:cs="PT Sans" w:eastAsia="PT Sans" w:hAnsi="PT Sans"/>
              </w:rPr>
            </w:pPr>
            <w:r w:rsidDel="00000000" w:rsidR="00000000" w:rsidRPr="00000000">
              <w:rPr>
                <w:rFonts w:ascii="PT Sans" w:cs="PT Sans" w:eastAsia="PT Sans" w:hAnsi="PT Sans"/>
                <w:rtl w:val="0"/>
              </w:rPr>
              <w:t xml:space="preserve">Posner, Rebecca (1996): </w:t>
            </w:r>
            <w:r w:rsidDel="00000000" w:rsidR="00000000" w:rsidRPr="00000000">
              <w:rPr>
                <w:rFonts w:ascii="PT Sans" w:cs="PT Sans" w:eastAsia="PT Sans" w:hAnsi="PT Sans"/>
                <w:i w:val="1"/>
                <w:iCs w:val="1"/>
                <w:rtl w:val="0"/>
              </w:rPr>
              <w:t xml:space="preserve">The Romance Languages</w:t>
            </w:r>
            <w:r w:rsidDel="00000000" w:rsidR="00000000" w:rsidRPr="00000000">
              <w:rPr>
                <w:rFonts w:ascii="PT Sans" w:cs="PT Sans" w:eastAsia="PT Sans" w:hAnsi="PT Sans"/>
                <w:rtl w:val="0"/>
              </w:rPr>
              <w:t xml:space="preserve">. Cambridge: Cambridge University Press. </w:t>
            </w:r>
            <w:r w:rsidDel="00000000" w:rsidR="00000000" w:rsidRPr="00000000">
              <w:rPr>
                <w:rFonts w:ascii="Roboto" w:cs="Roboto" w:eastAsia="Roboto" w:hAnsi="Roboto"/>
                <w:color w:val="555555"/>
                <w:sz w:val="21"/>
                <w:szCs w:val="21"/>
                <w:highlight w:val="white"/>
                <w:rtl w:val="0"/>
              </w:rPr>
              <w:t xml:space="preserve">DOI:</w:t>
            </w:r>
            <w:hyperlink r:id="rId8">
              <w:r w:rsidDel="00000000" w:rsidR="00000000" w:rsidRPr="00000000">
                <w:rPr>
                  <w:rFonts w:ascii="Roboto" w:cs="Roboto" w:eastAsia="Roboto" w:hAnsi="Roboto"/>
                  <w:color w:val="1155cc"/>
                  <w:sz w:val="21"/>
                  <w:szCs w:val="21"/>
                  <w:u w:val="single"/>
                  <w:rtl w:val="0"/>
                </w:rPr>
                <w:t xml:space="preserve">10.1017/S0022226797237011</w:t>
              </w:r>
            </w:hyperlink>
            <w:r w:rsidDel="00000000" w:rsidR="00000000" w:rsidRPr="00000000">
              <w:rPr>
                <w:rtl w:val="0"/>
              </w:rPr>
            </w:r>
          </w:p>
          <w:p w:rsidR="00000000" w:rsidDel="00000000" w:rsidP="00000000" w:rsidRDefault="00000000" w:rsidRPr="00000000" w14:paraId="00000075">
            <w:pPr>
              <w:jc w:val="both"/>
              <w:rPr>
                <w:rFonts w:ascii="PT Sans" w:cs="PT Sans" w:eastAsia="PT Sans" w:hAnsi="PT Sans"/>
                <w:b w:val="1"/>
                <w:bCs w:val="1"/>
              </w:rPr>
            </w:pPr>
            <w:r w:rsidDel="00000000" w:rsidR="00000000" w:rsidRPr="00000000">
              <w:rPr>
                <w:color w:val="514a40"/>
                <w:sz w:val="22"/>
                <w:szCs w:val="22"/>
                <w:rtl w:val="0"/>
              </w:rPr>
              <w:t xml:space="preserve">Fodor István (szerk.) (1999): </w:t>
            </w:r>
            <w:r w:rsidDel="00000000" w:rsidR="00000000" w:rsidRPr="00000000">
              <w:rPr>
                <w:i w:val="1"/>
                <w:iCs w:val="1"/>
                <w:color w:val="514a40"/>
                <w:sz w:val="22"/>
                <w:szCs w:val="22"/>
                <w:rtl w:val="0"/>
              </w:rPr>
              <w:t xml:space="preserve">A világ nyelvei.</w:t>
            </w:r>
            <w:r w:rsidDel="00000000" w:rsidR="00000000" w:rsidRPr="00000000">
              <w:rPr>
                <w:color w:val="514a40"/>
                <w:sz w:val="22"/>
                <w:szCs w:val="22"/>
                <w:rtl w:val="0"/>
              </w:rPr>
              <w:t xml:space="preserve"> Budapest: Akadémiai kiadó. ISBN 9630575973</w:t>
            </w:r>
            <w:r w:rsidDel="00000000" w:rsidR="00000000" w:rsidRPr="00000000">
              <w:rPr>
                <w:rtl w:val="0"/>
              </w:rPr>
            </w:r>
          </w:p>
        </w:tc>
      </w:tr>
      <w:tr>
        <w:trPr>
          <w:cantSplit w:val="0"/>
          <w:trHeight w:val="9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jc w:val="both"/>
              <w:rPr>
                <w:rFonts w:ascii="PT Sans" w:cs="PT Sans" w:eastAsia="PT Sans" w:hAnsi="PT Sans"/>
              </w:rPr>
            </w:pPr>
            <w:r w:rsidDel="00000000" w:rsidR="00000000" w:rsidRPr="00000000">
              <w:rPr>
                <w:rFonts w:ascii="PT Sans" w:cs="PT Sans" w:eastAsia="PT Sans" w:hAnsi="PT Sans"/>
                <w:rtl w:val="0"/>
              </w:rPr>
              <w:t xml:space="preserve">Theory to practice ratio: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theoretical contact hours: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Number of practical contact hours: 2</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Applied teaching methods: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Communicative language teaching (situational exercises, role-plays)</w:t>
            </w:r>
          </w:p>
          <w:p w:rsidR="00000000" w:rsidDel="00000000" w:rsidP="00000000" w:rsidRDefault="00000000" w:rsidRPr="00000000" w14:paraId="0000007C">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Contrastive method (comparison with the student’s main field of study)</w:t>
            </w:r>
          </w:p>
          <w:p w:rsidR="00000000" w:rsidDel="00000000" w:rsidP="00000000" w:rsidRDefault="00000000" w:rsidRPr="00000000" w14:paraId="0000007D">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Cooperative learning (pair and group work)</w:t>
            </w:r>
          </w:p>
          <w:p w:rsidR="00000000" w:rsidDel="00000000" w:rsidP="00000000" w:rsidRDefault="00000000" w:rsidRPr="00000000" w14:paraId="0000007E">
            <w:pPr>
              <w:numPr>
                <w:ilvl w:val="0"/>
                <w:numId w:val="5"/>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Use of digital materials (online exercises, audio resources)</w:t>
            </w:r>
            <w:r w:rsidDel="00000000" w:rsidR="00000000" w:rsidRPr="00000000">
              <w:rPr>
                <w:rtl w:val="0"/>
              </w:rPr>
            </w:r>
          </w:p>
        </w:tc>
      </w:tr>
      <w:tr>
        <w:trPr>
          <w:cantSplit w:val="0"/>
          <w:trHeight w:val="27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Form of evaluation: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tabs>
                <w:tab w:val="left" w:leader="none" w:pos="3780"/>
              </w:tabs>
              <w:rPr>
                <w:rFonts w:ascii="PT Sans" w:cs="PT Sans" w:eastAsia="PT Sans" w:hAnsi="PT Sans"/>
                <w:b w:val="1"/>
                <w:bCs w:val="1"/>
              </w:rPr>
            </w:pPr>
            <w:r w:rsidDel="00000000" w:rsidR="00000000" w:rsidRPr="00000000">
              <w:rPr>
                <w:rFonts w:ascii="PT Sans" w:cs="PT Sans" w:eastAsia="PT Sans" w:hAnsi="PT Sans"/>
                <w:b w:val="1"/>
                <w:bCs w:val="1"/>
                <w:rtl w:val="0"/>
              </w:rPr>
              <w:t xml:space="preserve">practice mark</w:t>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Evaluation criteria:</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Continuous classroom work and participation (attendance, completing tasks)</w:t>
            </w:r>
          </w:p>
          <w:p w:rsidR="00000000" w:rsidDel="00000000" w:rsidP="00000000" w:rsidRDefault="00000000" w:rsidRPr="00000000" w14:paraId="00000085">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Short written assignments (grammar and vocabulary knowledge)</w:t>
            </w:r>
          </w:p>
          <w:p w:rsidR="00000000" w:rsidDel="00000000" w:rsidP="00000000" w:rsidRDefault="00000000" w:rsidRPr="00000000" w14:paraId="00000086">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Oral performance (communication skills)</w:t>
            </w:r>
          </w:p>
          <w:p w:rsidR="00000000" w:rsidDel="00000000" w:rsidP="00000000" w:rsidRDefault="00000000" w:rsidRPr="00000000" w14:paraId="00000087">
            <w:pPr>
              <w:numPr>
                <w:ilvl w:val="0"/>
                <w:numId w:val="3"/>
              </w:numPr>
              <w:tabs>
                <w:tab w:val="left" w:leader="none" w:pos="3780"/>
              </w:tabs>
              <w:ind w:left="720" w:hanging="360"/>
              <w:rPr>
                <w:rFonts w:ascii="PT Sans" w:cs="PT Sans" w:eastAsia="PT Sans" w:hAnsi="PT Sans"/>
              </w:rPr>
            </w:pPr>
            <w:r w:rsidDel="00000000" w:rsidR="00000000" w:rsidRPr="00000000">
              <w:rPr>
                <w:rFonts w:ascii="PT Sans" w:cs="PT Sans" w:eastAsia="PT Sans" w:hAnsi="PT Sans"/>
                <w:rtl w:val="0"/>
              </w:rPr>
              <w:t xml:space="preserve">In-class test</w:t>
            </w:r>
            <w:r w:rsidDel="00000000" w:rsidR="00000000" w:rsidRPr="00000000">
              <w:rPr>
                <w:rtl w:val="0"/>
              </w:rPr>
            </w:r>
          </w:p>
        </w:tc>
      </w:tr>
      <w:tr>
        <w:trPr>
          <w:cantSplit w:val="0"/>
          <w:trHeight w:val="292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Contribution of the subject to the acquisition of competence elements as defined in the Training and Outcome Requirements</w:t>
            </w:r>
          </w:p>
          <w:p w:rsidR="00000000" w:rsidDel="00000000" w:rsidP="00000000" w:rsidRDefault="00000000" w:rsidRPr="00000000" w14:paraId="0000008A">
            <w:pPr>
              <w:tabs>
                <w:tab w:val="left" w:leader="none" w:pos="3780"/>
              </w:tabs>
              <w:rPr>
                <w:rFonts w:ascii="PT Sans" w:cs="PT Sans" w:eastAsia="PT Sans" w:hAnsi="PT Sans"/>
              </w:rPr>
            </w:pPr>
            <w:r w:rsidDel="00000000" w:rsidR="00000000" w:rsidRPr="00000000">
              <w:rPr>
                <w:rtl w:val="0"/>
              </w:rPr>
            </w:r>
          </w:p>
          <w:p w:rsidR="00000000" w:rsidDel="00000000" w:rsidP="00000000" w:rsidRDefault="00000000" w:rsidRPr="00000000" w14:paraId="0000008B">
            <w:pPr>
              <w:tabs>
                <w:tab w:val="left" w:leader="none" w:pos="3780"/>
              </w:tabs>
              <w:rPr>
                <w:rFonts w:ascii="PT Sans" w:cs="PT Sans" w:eastAsia="PT Sans" w:hAnsi="PT Sans"/>
              </w:rPr>
            </w:pPr>
            <w:r w:rsidDel="00000000" w:rsidR="00000000" w:rsidRPr="00000000">
              <w:rPr>
                <w:rFonts w:ascii="PT Sans" w:cs="PT Sans" w:eastAsia="PT Sans" w:hAnsi="PT Sans"/>
                <w:rtl w:val="0"/>
              </w:rPr>
              <w:t xml:space="preserve">Elaborate on how competence elements specified in the Training and Outcome Requirements are/may be achieved </w:t>
            </w:r>
            <w:r w:rsidDel="00000000" w:rsidR="00000000" w:rsidRPr="00000000">
              <w:rPr>
                <w:rFonts w:ascii="PT Sans" w:cs="PT Sans" w:eastAsia="PT Sans" w:hAnsi="PT Sans"/>
                <w:i w:val="1"/>
                <w:iCs w:val="1"/>
                <w:rtl w:val="0"/>
              </w:rPr>
              <w:t xml:space="preserve">(Note: do not simply copy the competence elements from the Training and Outcome Requirements)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Knowledge:</w:t>
            </w:r>
          </w:p>
          <w:p w:rsidR="00000000" w:rsidDel="00000000" w:rsidP="00000000" w:rsidRDefault="00000000" w:rsidRPr="00000000" w14:paraId="0000008D">
            <w:pPr>
              <w:numPr>
                <w:ilvl w:val="0"/>
                <w:numId w:val="10"/>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The student gains a broader understanding of the Romance languages system, not just from the perspective of a single language.</w:t>
            </w:r>
          </w:p>
          <w:p w:rsidR="00000000" w:rsidDel="00000000" w:rsidP="00000000" w:rsidRDefault="00000000" w:rsidRPr="00000000" w14:paraId="0000008E">
            <w:pPr>
              <w:numPr>
                <w:ilvl w:val="0"/>
                <w:numId w:val="10"/>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Understands the connections between linguistic and cultural phenomena.</w:t>
            </w:r>
          </w:p>
          <w:p w:rsidR="00000000" w:rsidDel="00000000" w:rsidP="00000000" w:rsidRDefault="00000000" w:rsidRPr="00000000" w14:paraId="0000008F">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Skills:</w:t>
            </w:r>
          </w:p>
          <w:p w:rsidR="00000000" w:rsidDel="00000000" w:rsidP="00000000" w:rsidRDefault="00000000" w:rsidRPr="00000000" w14:paraId="00000090">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Will be able to communicate at a basic level in a new language, strengthening overall language competence.</w:t>
            </w:r>
          </w:p>
          <w:p w:rsidR="00000000" w:rsidDel="00000000" w:rsidP="00000000" w:rsidRDefault="00000000" w:rsidRPr="00000000" w14:paraId="00000091">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Develops contrastive language analysis skills (recognizing differences and similarities).</w:t>
            </w:r>
          </w:p>
          <w:p w:rsidR="00000000" w:rsidDel="00000000" w:rsidP="00000000" w:rsidRDefault="00000000" w:rsidRPr="00000000" w14:paraId="00000092">
            <w:pPr>
              <w:numPr>
                <w:ilvl w:val="0"/>
                <w:numId w:val="13"/>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Applies various language-learning strategies more consciously.</w:t>
            </w:r>
          </w:p>
          <w:p w:rsidR="00000000" w:rsidDel="00000000" w:rsidP="00000000" w:rsidRDefault="00000000" w:rsidRPr="00000000" w14:paraId="00000093">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Attitudes:</w:t>
            </w:r>
          </w:p>
          <w:p w:rsidR="00000000" w:rsidDel="00000000" w:rsidP="00000000" w:rsidRDefault="00000000" w:rsidRPr="00000000" w14:paraId="00000094">
            <w:pPr>
              <w:numPr>
                <w:ilvl w:val="0"/>
                <w:numId w:val="1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Becomes more open to other Romance languages and cultures.</w:t>
            </w:r>
          </w:p>
          <w:p w:rsidR="00000000" w:rsidDel="00000000" w:rsidP="00000000" w:rsidRDefault="00000000" w:rsidRPr="00000000" w14:paraId="00000095">
            <w:pPr>
              <w:numPr>
                <w:ilvl w:val="0"/>
                <w:numId w:val="1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Is motivated to learn additional languages.</w:t>
            </w:r>
          </w:p>
          <w:p w:rsidR="00000000" w:rsidDel="00000000" w:rsidP="00000000" w:rsidRDefault="00000000" w:rsidRPr="00000000" w14:paraId="00000096">
            <w:pPr>
              <w:numPr>
                <w:ilvl w:val="0"/>
                <w:numId w:val="11"/>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Enhances intercultural sensitivity.</w:t>
            </w:r>
          </w:p>
          <w:p w:rsidR="00000000" w:rsidDel="00000000" w:rsidP="00000000" w:rsidRDefault="00000000" w:rsidRPr="00000000" w14:paraId="00000097">
            <w:pPr>
              <w:tabs>
                <w:tab w:val="left" w:leader="none" w:pos="3780"/>
              </w:tabs>
              <w:jc w:val="both"/>
              <w:rPr>
                <w:rFonts w:ascii="PT Sans" w:cs="PT Sans" w:eastAsia="PT Sans" w:hAnsi="PT Sans"/>
              </w:rPr>
            </w:pPr>
            <w:r w:rsidDel="00000000" w:rsidR="00000000" w:rsidRPr="00000000">
              <w:rPr>
                <w:rFonts w:ascii="PT Sans" w:cs="PT Sans" w:eastAsia="PT Sans" w:hAnsi="PT Sans"/>
                <w:rtl w:val="0"/>
              </w:rPr>
              <w:t xml:space="preserve">Autonomy and Responsibility:</w:t>
            </w:r>
          </w:p>
          <w:p w:rsidR="00000000" w:rsidDel="00000000" w:rsidP="00000000" w:rsidRDefault="00000000" w:rsidRPr="00000000" w14:paraId="00000098">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Develops the ability to learn languages independently.</w:t>
            </w:r>
          </w:p>
          <w:p w:rsidR="00000000" w:rsidDel="00000000" w:rsidP="00000000" w:rsidRDefault="00000000" w:rsidRPr="00000000" w14:paraId="00000099">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Takes responsibility for their own language development.</w:t>
            </w:r>
          </w:p>
          <w:p w:rsidR="00000000" w:rsidDel="00000000" w:rsidP="00000000" w:rsidRDefault="00000000" w:rsidRPr="00000000" w14:paraId="0000009A">
            <w:pPr>
              <w:numPr>
                <w:ilvl w:val="0"/>
                <w:numId w:val="15"/>
              </w:numPr>
              <w:tabs>
                <w:tab w:val="left" w:leader="none" w:pos="3780"/>
              </w:tabs>
              <w:ind w:left="720" w:hanging="360"/>
              <w:jc w:val="both"/>
              <w:rPr>
                <w:rFonts w:ascii="PT Sans" w:cs="PT Sans" w:eastAsia="PT Sans" w:hAnsi="PT Sans"/>
              </w:rPr>
            </w:pPr>
            <w:r w:rsidDel="00000000" w:rsidR="00000000" w:rsidRPr="00000000">
              <w:rPr>
                <w:rFonts w:ascii="PT Sans" w:cs="PT Sans" w:eastAsia="PT Sans" w:hAnsi="PT Sans"/>
                <w:rtl w:val="0"/>
              </w:rPr>
              <w:t xml:space="preserve">Can collaborate effectively with others on language tasks.</w:t>
            </w:r>
          </w:p>
        </w:tc>
      </w:tr>
    </w:tbl>
    <w:p w:rsidR="00000000" w:rsidDel="00000000" w:rsidP="00000000" w:rsidRDefault="00000000" w:rsidRPr="00000000" w14:paraId="0000009C">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Play">
    <w:embedRegular w:fontKey="{00000000-0000-0000-0000-000000000000}" r:id="rId1" w:subsetted="0"/>
    <w:embedBold w:fontKey="{00000000-0000-0000-0000-000000000000}" r:id="rId2" w:subsetted="0"/>
  </w:font>
  <w:font w:name="Aptos"/>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PT Sans">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h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sz w:val="24"/>
      <w:szCs w:val="24"/>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sz w:val="24"/>
      <w:szCs w:val="24"/>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sz w:val="24"/>
      <w:szCs w:val="24"/>
    </w:rPr>
  </w:style>
  <w:style w:type="paragraph" w:styleId="Title">
    <w:name w:val="Title"/>
    <w:basedOn w:val="Normal"/>
    <w:next w:val="Normal"/>
    <w:pPr>
      <w:spacing w:after="80" w:lineRule="auto"/>
    </w:pPr>
    <w:rPr>
      <w:rFonts w:ascii="Play" w:cs="Play" w:eastAsia="Play" w:hAnsi="Play"/>
      <w:sz w:val="56"/>
      <w:szCs w:val="56"/>
    </w:rPr>
  </w:style>
  <w:style w:type="paragraph" w:styleId="Cmsor7">
    <w:name w:val="heading 7"/>
    <w:basedOn w:val="Norml"/>
    <w:next w:val="Norml"/>
    <w:link w:val="Cmsor7Char"/>
    <w:uiPriority w:val="9"/>
    <w:semiHidden w:val="1"/>
    <w:unhideWhenUsed w:val="1"/>
    <w:qFormat w:val="1"/>
    <w:rsid w:val="00C068B4"/>
    <w:pPr>
      <w:keepNext w:val="1"/>
      <w:keepLines w:val="1"/>
      <w:spacing w:before="40" w:line="278" w:lineRule="auto"/>
      <w:outlineLvl w:val="6"/>
    </w:pPr>
    <w:rPr>
      <w:rFonts w:asciiTheme="minorHAnsi" w:cstheme="majorBidi" w:eastAsiaTheme="majorEastAsia" w:hAnsiTheme="minorHAnsi"/>
      <w:color w:val="595959" w:themeColor="text1" w:themeTint="0000A6"/>
      <w:kern w:val="2"/>
      <w:sz w:val="24"/>
      <w:szCs w:val="24"/>
      <w:lang w:eastAsia="en-US"/>
    </w:rPr>
  </w:style>
  <w:style w:type="paragraph" w:styleId="Cmsor8">
    <w:name w:val="heading 8"/>
    <w:basedOn w:val="Norml"/>
    <w:next w:val="Norml"/>
    <w:link w:val="Cmsor8Char"/>
    <w:uiPriority w:val="9"/>
    <w:semiHidden w:val="1"/>
    <w:unhideWhenUsed w:val="1"/>
    <w:qFormat w:val="1"/>
    <w:rsid w:val="00C068B4"/>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sz w:val="24"/>
      <w:szCs w:val="24"/>
      <w:lang w:eastAsia="en-US"/>
    </w:rPr>
  </w:style>
  <w:style w:type="paragraph" w:styleId="Cmsor9">
    <w:name w:val="heading 9"/>
    <w:basedOn w:val="Norml"/>
    <w:next w:val="Norml"/>
    <w:link w:val="Cmsor9Char"/>
    <w:uiPriority w:val="9"/>
    <w:semiHidden w:val="1"/>
    <w:unhideWhenUsed w:val="1"/>
    <w:qFormat w:val="1"/>
    <w:rsid w:val="00C068B4"/>
    <w:pPr>
      <w:keepNext w:val="1"/>
      <w:keepLines w:val="1"/>
      <w:spacing w:line="278" w:lineRule="auto"/>
      <w:outlineLvl w:val="8"/>
    </w:pPr>
    <w:rPr>
      <w:rFonts w:asciiTheme="minorHAnsi" w:cstheme="majorBidi" w:eastAsiaTheme="majorEastAsia" w:hAnsiTheme="minorHAnsi"/>
      <w:color w:val="272727" w:themeColor="text1" w:themeTint="0000D8"/>
      <w:kern w:val="2"/>
      <w:sz w:val="24"/>
      <w:szCs w:val="24"/>
      <w:lang w:eastAsia="en-US"/>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C068B4"/>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C068B4"/>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C068B4"/>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C068B4"/>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C068B4"/>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C068B4"/>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C068B4"/>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C068B4"/>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C068B4"/>
    <w:rPr>
      <w:rFonts w:cstheme="majorBidi" w:eastAsiaTheme="majorEastAsia"/>
      <w:color w:val="272727" w:themeColor="text1" w:themeTint="0000D8"/>
    </w:rPr>
  </w:style>
  <w:style w:type="character" w:styleId="CmChar" w:customStyle="1">
    <w:name w:val="Cím Char"/>
    <w:basedOn w:val="Bekezdsalapbettpusa"/>
    <w:link w:val="Cm"/>
    <w:uiPriority w:val="10"/>
    <w:rsid w:val="00C068B4"/>
    <w:rPr>
      <w:rFonts w:asciiTheme="majorHAnsi" w:cstheme="majorBidi" w:eastAsiaTheme="majorEastAsia" w:hAnsiTheme="majorHAnsi"/>
      <w:spacing w:val="-10"/>
      <w:kern w:val="28"/>
      <w:sz w:val="56"/>
      <w:szCs w:val="56"/>
    </w:rPr>
  </w:style>
  <w:style w:type="character" w:styleId="AlcmChar" w:customStyle="1">
    <w:name w:val="Alcím Char"/>
    <w:basedOn w:val="Bekezdsalapbettpusa"/>
    <w:link w:val="Alcm"/>
    <w:uiPriority w:val="11"/>
    <w:rsid w:val="00C068B4"/>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C068B4"/>
    <w:pPr>
      <w:spacing w:after="160" w:before="160" w:line="278" w:lineRule="auto"/>
      <w:jc w:val="center"/>
    </w:pPr>
    <w:rPr>
      <w:rFonts w:asciiTheme="minorHAnsi" w:cstheme="minorBidi" w:eastAsiaTheme="minorHAnsi" w:hAnsiTheme="minorHAnsi"/>
      <w:i w:val="1"/>
      <w:iCs w:val="1"/>
      <w:color w:val="404040" w:themeColor="text1" w:themeTint="0000BF"/>
      <w:kern w:val="2"/>
      <w:sz w:val="24"/>
      <w:szCs w:val="24"/>
      <w:lang w:eastAsia="en-US"/>
    </w:rPr>
  </w:style>
  <w:style w:type="character" w:styleId="IdzetChar" w:customStyle="1">
    <w:name w:val="Idézet Char"/>
    <w:basedOn w:val="Bekezdsalapbettpusa"/>
    <w:link w:val="Idzet"/>
    <w:uiPriority w:val="29"/>
    <w:rsid w:val="00C068B4"/>
    <w:rPr>
      <w:i w:val="1"/>
      <w:iCs w:val="1"/>
      <w:color w:val="404040" w:themeColor="text1" w:themeTint="0000BF"/>
    </w:rPr>
  </w:style>
  <w:style w:type="paragraph" w:styleId="Listaszerbekezds">
    <w:name w:val="List Paragraph"/>
    <w:basedOn w:val="Norml"/>
    <w:uiPriority w:val="34"/>
    <w:qFormat w:val="1"/>
    <w:rsid w:val="00C068B4"/>
    <w:pPr>
      <w:spacing w:after="160" w:line="278" w:lineRule="auto"/>
      <w:ind w:left="720"/>
      <w:contextualSpacing w:val="1"/>
    </w:pPr>
    <w:rPr>
      <w:rFonts w:asciiTheme="minorHAnsi" w:cstheme="minorBidi" w:eastAsiaTheme="minorHAnsi" w:hAnsiTheme="minorHAnsi"/>
      <w:kern w:val="2"/>
      <w:sz w:val="24"/>
      <w:szCs w:val="24"/>
      <w:lang w:eastAsia="en-US"/>
    </w:rPr>
  </w:style>
  <w:style w:type="character" w:styleId="Erskiemels">
    <w:name w:val="Intense Emphasis"/>
    <w:basedOn w:val="Bekezdsalapbettpusa"/>
    <w:uiPriority w:val="21"/>
    <w:qFormat w:val="1"/>
    <w:rsid w:val="00C068B4"/>
    <w:rPr>
      <w:i w:val="1"/>
      <w:iCs w:val="1"/>
      <w:color w:val="0f4761" w:themeColor="accent1" w:themeShade="0000BF"/>
    </w:rPr>
  </w:style>
  <w:style w:type="paragraph" w:styleId="Kiemeltidzet">
    <w:name w:val="Intense Quote"/>
    <w:basedOn w:val="Norml"/>
    <w:next w:val="Norml"/>
    <w:link w:val="KiemeltidzetChar"/>
    <w:uiPriority w:val="30"/>
    <w:qFormat w:val="1"/>
    <w:rsid w:val="00C068B4"/>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sz w:val="24"/>
      <w:szCs w:val="24"/>
      <w:lang w:eastAsia="en-US"/>
    </w:rPr>
  </w:style>
  <w:style w:type="character" w:styleId="KiemeltidzetChar" w:customStyle="1">
    <w:name w:val="Kiemelt idézet Char"/>
    <w:basedOn w:val="Bekezdsalapbettpusa"/>
    <w:link w:val="Kiemeltidzet"/>
    <w:uiPriority w:val="30"/>
    <w:rsid w:val="00C068B4"/>
    <w:rPr>
      <w:i w:val="1"/>
      <w:iCs w:val="1"/>
      <w:color w:val="0f4761" w:themeColor="accent1" w:themeShade="0000BF"/>
    </w:rPr>
  </w:style>
  <w:style w:type="character" w:styleId="Ershivatkozs">
    <w:name w:val="Intense Reference"/>
    <w:basedOn w:val="Bekezdsalapbettpusa"/>
    <w:uiPriority w:val="32"/>
    <w:qFormat w:val="1"/>
    <w:rsid w:val="00C068B4"/>
    <w:rPr>
      <w:b w:val="1"/>
      <w:bCs w:val="1"/>
      <w:smallCaps w:val="1"/>
      <w:color w:val="0f4761" w:themeColor="accent1" w:themeShade="0000BF"/>
      <w:spacing w:val="5"/>
    </w:rPr>
  </w:style>
  <w:style w:type="character" w:styleId="ui-provider" w:customStyle="1">
    <w:name w:val="ui-provider"/>
    <w:basedOn w:val="Bekezdsalapbettpusa"/>
    <w:rsid w:val="00C068B4"/>
  </w:style>
  <w:style w:type="table" w:styleId="Rcsostblzat">
    <w:name w:val="Table Grid"/>
    <w:basedOn w:val="Normltblzat"/>
    <w:rsid w:val="00C068B4"/>
    <w:pPr>
      <w:spacing w:after="0" w:line="240" w:lineRule="auto"/>
    </w:pPr>
    <w:rPr>
      <w:rFonts w:ascii="Times New Roman" w:cs="Times New Roman" w:eastAsia="Times New Roman" w:hAnsi="Times New Roman"/>
      <w:kern w:val="0"/>
      <w:sz w:val="20"/>
      <w:szCs w:val="20"/>
      <w:lang w:eastAsia="hu-HU"/>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Times New Roman" w:cs="Times New Roman" w:eastAsia="Times New Roman" w:hAnsi="Times New Roman"/>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i.org/10.1017/S0022226797237011" TargetMode="External"/><Relationship Id="rId8" Type="http://schemas.openxmlformats.org/officeDocument/2006/relationships/hyperlink" Target="https://doi.org/10.1017/S002222679723701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10" Type="http://schemas.openxmlformats.org/officeDocument/2006/relationships/font" Target="fonts/PTSans-boldItalic.ttf"/><Relationship Id="rId9" Type="http://schemas.openxmlformats.org/officeDocument/2006/relationships/font" Target="fonts/PTSans-italic.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PTSans-regular.ttf"/><Relationship Id="rId8" Type="http://schemas.openxmlformats.org/officeDocument/2006/relationships/font" Target="fonts/PTSans-bold.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GdDjNuJPymNdllRZ7AWCi73Lcg==">CgMxLjA4AHIhMWZzUFk4b0JRMU5sakEyYVAxNTBzWWZmck9WcTdPdmtC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2025-07-16T09:53:00Z</dcterms:created>
  <dc:creator>Csufor Krisztina</dc:creator>
</cp:coreProperties>
</file>