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3"/>
        <w:gridCol w:w="2871"/>
        <w:gridCol w:w="2958"/>
        <w:tblGridChange w:id="0">
          <w:tblGrid>
            <w:gridCol w:w="3233"/>
            <w:gridCol w:w="2871"/>
            <w:gridCol w:w="29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neve: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BBNRS19000, BBNRS19100 / BBLRS19000, BBLRS19100 Az Ibériai-félsziget nyelvei és kultúrái 1-2.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Tárgyfelelős: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Carles Bartual Martín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oktatója: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Carles Bartual Martín, Dr. Miguel García Viñolo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céljának rövid ismertetése: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3780"/>
              </w:tabs>
              <w:jc w:val="both"/>
              <w:rPr>
                <w:rFonts w:ascii="PT Sans" w:cs="PT Sans" w:eastAsia="PT Sans" w:hAnsi="PT Sans"/>
                <w:sz w:val="12"/>
                <w:szCs w:val="12"/>
              </w:rPr>
            </w:pPr>
            <w:r w:rsidDel="00000000" w:rsidR="00000000" w:rsidRPr="00000000">
              <w:rPr>
                <w:rFonts w:ascii="PT Sans" w:cs="PT Sans" w:eastAsia="PT Sans" w:hAnsi="PT Sans"/>
                <w:rtl w:val="0"/>
              </w:rPr>
              <w:t xml:space="preserve">A tantárgy célja az Ibériai-félsziget nyelvi és kulturális sokszínűségének bemutatása. A hallgatók megismerkednek a térség egyéb nyelveivel (például portugál, katalán, baszk, galíciai), valamint azok történetével, társadalmi szerepével és kulturális beágyazottságával. Figyelmet kapnak a spanyolországi Autonóm Tartományok, amelyek sajátos nyelvi, kulturális és identitásbeli jegyekkel rendelkeznek, és amelyek hagyományai, szokásai eltérhetnek egymástól. A hallgatók betekintést nyernek a regionális identitások, ünnepek, gasztronómiai hagyományok világába is.</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elméleti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numPr>
                <w:ilvl w:val="0"/>
                <w:numId w:val="15"/>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Az Ibériai-félsziget nyelvi térképe </w:t>
            </w:r>
          </w:p>
          <w:p w:rsidR="00000000" w:rsidDel="00000000" w:rsidP="00000000" w:rsidRDefault="00000000" w:rsidRPr="00000000" w14:paraId="00000010">
            <w:pPr>
              <w:numPr>
                <w:ilvl w:val="0"/>
                <w:numId w:val="15"/>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Nyelvpolitika és nyelvi jogok a régióban</w:t>
            </w:r>
          </w:p>
          <w:p w:rsidR="00000000" w:rsidDel="00000000" w:rsidP="00000000" w:rsidRDefault="00000000" w:rsidRPr="00000000" w14:paraId="00000011">
            <w:pPr>
              <w:numPr>
                <w:ilvl w:val="0"/>
                <w:numId w:val="15"/>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Regionális identitások és kulturális különbségek</w:t>
            </w:r>
          </w:p>
          <w:p w:rsidR="00000000" w:rsidDel="00000000" w:rsidP="00000000" w:rsidRDefault="00000000" w:rsidRPr="00000000" w14:paraId="00000012">
            <w:pPr>
              <w:numPr>
                <w:ilvl w:val="0"/>
                <w:numId w:val="15"/>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Gasztonómia, ünnepek</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gyakorlati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numPr>
                <w:ilvl w:val="0"/>
                <w:numId w:val="9"/>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Nyelvi különbségek felismerése és alapvető összehasonlítása</w:t>
            </w:r>
          </w:p>
          <w:p w:rsidR="00000000" w:rsidDel="00000000" w:rsidP="00000000" w:rsidRDefault="00000000" w:rsidRPr="00000000" w14:paraId="00000016">
            <w:pPr>
              <w:numPr>
                <w:ilvl w:val="0"/>
                <w:numId w:val="9"/>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Regionális kulturális jelenségek értelmezése (pl. ünnepek, zene, gasztronómia)</w:t>
            </w:r>
          </w:p>
          <w:p w:rsidR="00000000" w:rsidDel="00000000" w:rsidP="00000000" w:rsidRDefault="00000000" w:rsidRPr="00000000" w14:paraId="00000017">
            <w:pPr>
              <w:numPr>
                <w:ilvl w:val="0"/>
                <w:numId w:val="9"/>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Prezentációk készítése egy-egy Autonóm Tartomány vagy kulturális téma kapcsán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kötelező irodalom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ind w:right="-98"/>
              <w:jc w:val="both"/>
              <w:rPr>
                <w:rFonts w:ascii="PT Sans" w:cs="PT Sans" w:eastAsia="PT Sans" w:hAnsi="PT Sans"/>
                <w:sz w:val="16"/>
                <w:szCs w:val="16"/>
              </w:rPr>
            </w:pPr>
            <w:r w:rsidDel="00000000" w:rsidR="00000000" w:rsidRPr="00000000">
              <w:rPr>
                <w:rFonts w:ascii="PT Sans" w:cs="PT Sans" w:eastAsia="PT Sans" w:hAnsi="PT Sans"/>
                <w:color w:val="333333"/>
                <w:shd w:fill="efeeef" w:val="clear"/>
                <w:rtl w:val="0"/>
              </w:rPr>
              <w:t xml:space="preserve">Mónica Castillo Lluch, M. - Kabatek, J. (eds.) (2006):</w:t>
            </w:r>
            <w:r w:rsidDel="00000000" w:rsidR="00000000" w:rsidRPr="00000000">
              <w:rPr>
                <w:rFonts w:ascii="PT Sans" w:cs="PT Sans" w:eastAsia="PT Sans" w:hAnsi="PT Sans"/>
                <w:i w:val="1"/>
                <w:iCs w:val="1"/>
                <w:color w:val="333333"/>
                <w:shd w:fill="efeeef" w:val="clear"/>
                <w:rtl w:val="0"/>
              </w:rPr>
              <w:t xml:space="preserve"> </w:t>
            </w:r>
            <w:r w:rsidDel="00000000" w:rsidR="00000000" w:rsidRPr="00000000">
              <w:rPr>
                <w:rFonts w:ascii="PT Sans" w:cs="PT Sans" w:eastAsia="PT Sans" w:hAnsi="PT Sans"/>
                <w:i w:val="1"/>
                <w:iCs w:val="1"/>
                <w:color w:val="333333"/>
                <w:shd w:fill="efeeef" w:val="clear"/>
                <w:rtl w:val="0"/>
              </w:rPr>
              <w:t xml:space="preserve">Las Lenguas de España. Política lingüística, sociología del lenguaje e ideología desde la Transición hasta la actualidad.</w:t>
            </w:r>
            <w:r w:rsidDel="00000000" w:rsidR="00000000" w:rsidRPr="00000000">
              <w:rPr>
                <w:rFonts w:ascii="PT Sans" w:cs="PT Sans" w:eastAsia="PT Sans" w:hAnsi="PT Sans"/>
                <w:color w:val="333333"/>
                <w:shd w:fill="efeeef" w:val="clear"/>
                <w:rtl w:val="0"/>
              </w:rPr>
              <w:t xml:space="preserve"> Madrid, Iberoamericana Vervuert.  ISBN </w:t>
            </w:r>
            <w:r w:rsidDel="00000000" w:rsidR="00000000" w:rsidRPr="00000000">
              <w:rPr>
                <w:rFonts w:ascii="PT Sans" w:cs="PT Sans" w:eastAsia="PT Sans" w:hAnsi="PT Sans"/>
                <w:color w:val="333333"/>
                <w:shd w:fill="efeeef" w:val="clear"/>
                <w:rtl w:val="0"/>
              </w:rPr>
              <w:t xml:space="preserve">9788484892168</w:t>
            </w:r>
            <w:r w:rsidDel="00000000" w:rsidR="00000000" w:rsidRPr="00000000">
              <w:rPr>
                <w:rtl w:val="0"/>
              </w:rPr>
            </w:r>
          </w:p>
          <w:p w:rsidR="00000000" w:rsidDel="00000000" w:rsidP="00000000" w:rsidRDefault="00000000" w:rsidRPr="00000000" w14:paraId="0000001B">
            <w:pPr>
              <w:ind w:right="-98"/>
              <w:jc w:val="both"/>
              <w:rPr>
                <w:rFonts w:ascii="PT Sans" w:cs="PT Sans" w:eastAsia="PT Sans" w:hAnsi="PT Sans"/>
              </w:rPr>
            </w:pPr>
            <w:r w:rsidDel="00000000" w:rsidR="00000000" w:rsidRPr="00000000">
              <w:rPr>
                <w:rFonts w:ascii="PT Sans" w:cs="PT Sans" w:eastAsia="PT Sans" w:hAnsi="PT Sans"/>
                <w:rtl w:val="0"/>
              </w:rPr>
              <w:t xml:space="preserve">López García-Molins, Á. (2020): </w:t>
            </w:r>
            <w:r w:rsidDel="00000000" w:rsidR="00000000" w:rsidRPr="00000000">
              <w:rPr>
                <w:rFonts w:ascii="PT Sans" w:cs="PT Sans" w:eastAsia="PT Sans" w:hAnsi="PT Sans"/>
                <w:i w:val="1"/>
                <w:iCs w:val="1"/>
                <w:rtl w:val="0"/>
              </w:rPr>
              <w:t xml:space="preserve">Repensar España desde sus lenguas.</w:t>
            </w:r>
            <w:r w:rsidDel="00000000" w:rsidR="00000000" w:rsidRPr="00000000">
              <w:rPr>
                <w:rFonts w:ascii="PT Sans" w:cs="PT Sans" w:eastAsia="PT Sans" w:hAnsi="PT Sans"/>
                <w:rtl w:val="0"/>
              </w:rPr>
              <w:t xml:space="preserve"> Barcelona: El Viejo Topo.. ISBN 9788418550119</w:t>
            </w:r>
          </w:p>
          <w:p w:rsidR="00000000" w:rsidDel="00000000" w:rsidP="00000000" w:rsidRDefault="00000000" w:rsidRPr="00000000" w14:paraId="0000001C">
            <w:pPr>
              <w:ind w:right="-98"/>
              <w:jc w:val="both"/>
              <w:rPr>
                <w:rFonts w:ascii="PT Sans" w:cs="PT Sans" w:eastAsia="PT Sans" w:hAnsi="PT Sans"/>
              </w:rPr>
            </w:pPr>
            <w:r w:rsidDel="00000000" w:rsidR="00000000" w:rsidRPr="00000000">
              <w:rPr>
                <w:rFonts w:ascii="PT Sans" w:cs="PT Sans" w:eastAsia="PT Sans" w:hAnsi="PT Sans"/>
                <w:rtl w:val="0"/>
              </w:rPr>
              <w:t xml:space="preserve">Quesada Marco, S. (2016). </w:t>
            </w:r>
            <w:r w:rsidDel="00000000" w:rsidR="00000000" w:rsidRPr="00000000">
              <w:rPr>
                <w:rFonts w:ascii="PT Sans" w:cs="PT Sans" w:eastAsia="PT Sans" w:hAnsi="PT Sans"/>
                <w:i w:val="1"/>
                <w:iCs w:val="1"/>
                <w:rtl w:val="0"/>
              </w:rPr>
              <w:t xml:space="preserve">Curso monográfico sobre la España contemporánea. España siglo XXI.</w:t>
            </w:r>
            <w:r w:rsidDel="00000000" w:rsidR="00000000" w:rsidRPr="00000000">
              <w:rPr>
                <w:rFonts w:ascii="PT Sans" w:cs="PT Sans" w:eastAsia="PT Sans" w:hAnsi="PT Sans"/>
                <w:rtl w:val="0"/>
              </w:rPr>
              <w:t xml:space="preserve"> Madrid: Edelsa, ISBN 978849081839</w:t>
            </w:r>
          </w:p>
          <w:p w:rsidR="00000000" w:rsidDel="00000000" w:rsidP="00000000" w:rsidRDefault="00000000" w:rsidRPr="00000000" w14:paraId="0000001D">
            <w:pPr>
              <w:ind w:right="-98"/>
              <w:jc w:val="both"/>
              <w:rPr>
                <w:rFonts w:ascii="PT Sans" w:cs="PT Sans" w:eastAsia="PT Sans" w:hAnsi="PT Sans"/>
              </w:rPr>
            </w:pPr>
            <w:hyperlink r:id="rId7">
              <w:r w:rsidDel="00000000" w:rsidR="00000000" w:rsidRPr="00000000">
                <w:rPr>
                  <w:rFonts w:ascii="PT Sans" w:cs="PT Sans" w:eastAsia="PT Sans" w:hAnsi="PT Sans"/>
                  <w:color w:val="1155cc"/>
                  <w:u w:val="single"/>
                  <w:rtl w:val="0"/>
                </w:rPr>
                <w:t xml:space="preserve">https://es.scribd.com/document/685168899/Espana-Siglo-XXI</w:t>
              </w:r>
            </w:hyperlink>
            <w:r w:rsidDel="00000000" w:rsidR="00000000" w:rsidRPr="00000000">
              <w:rPr>
                <w:rtl w:val="0"/>
              </w:rPr>
            </w:r>
          </w:p>
          <w:p w:rsidR="00000000" w:rsidDel="00000000" w:rsidP="00000000" w:rsidRDefault="00000000" w:rsidRPr="00000000" w14:paraId="0000001E">
            <w:pPr>
              <w:ind w:right="-98"/>
              <w:jc w:val="both"/>
              <w:rPr>
                <w:rFonts w:ascii="PT Sans" w:cs="PT Sans" w:eastAsia="PT Sans" w:hAnsi="PT Sans"/>
              </w:rPr>
            </w:pPr>
            <w:r w:rsidDel="00000000" w:rsidR="00000000" w:rsidRPr="00000000">
              <w:rPr>
                <w:rFonts w:ascii="PT Sans" w:cs="PT Sans" w:eastAsia="PT Sans" w:hAnsi="PT Sans"/>
                <w:rtl w:val="0"/>
              </w:rPr>
              <w:t xml:space="preserve">Pereira-Muro, C. (2014): </w:t>
            </w:r>
            <w:r w:rsidDel="00000000" w:rsidR="00000000" w:rsidRPr="00000000">
              <w:rPr>
                <w:rFonts w:ascii="PT Sans" w:cs="PT Sans" w:eastAsia="PT Sans" w:hAnsi="PT Sans"/>
                <w:i w:val="1"/>
                <w:iCs w:val="1"/>
                <w:rtl w:val="0"/>
              </w:rPr>
              <w:t xml:space="preserve">Culturas de España.</w:t>
            </w:r>
            <w:r w:rsidDel="00000000" w:rsidR="00000000" w:rsidRPr="00000000">
              <w:rPr>
                <w:rFonts w:ascii="PT Sans" w:cs="PT Sans" w:eastAsia="PT Sans" w:hAnsi="PT Sans"/>
                <w:rtl w:val="0"/>
              </w:rPr>
              <w:t xml:space="preserve"> Boston, Heinle. ISNB </w:t>
            </w:r>
            <w:r w:rsidDel="00000000" w:rsidR="00000000" w:rsidRPr="00000000">
              <w:rPr>
                <w:rFonts w:ascii="PT Sans" w:cs="PT Sans" w:eastAsia="PT Sans" w:hAnsi="PT Sans"/>
                <w:color w:val="0f1111"/>
                <w:highlight w:val="white"/>
                <w:rtl w:val="0"/>
              </w:rPr>
              <w:t xml:space="preserve">9781285053646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ajánlott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ind w:right="-98"/>
              <w:jc w:val="both"/>
              <w:rPr>
                <w:rFonts w:ascii="PT Sans" w:cs="PT Sans" w:eastAsia="PT Sans" w:hAnsi="PT Sans"/>
                <w:highlight w:val="white"/>
              </w:rPr>
            </w:pPr>
            <w:r w:rsidDel="00000000" w:rsidR="00000000" w:rsidRPr="00000000">
              <w:rPr>
                <w:rFonts w:ascii="PT Sans" w:cs="PT Sans" w:eastAsia="PT Sans" w:hAnsi="PT Sans"/>
                <w:highlight w:val="white"/>
                <w:rtl w:val="0"/>
              </w:rPr>
              <w:t xml:space="preserve">Pinto Pajares, D. (2022): </w:t>
            </w:r>
            <w:r w:rsidDel="00000000" w:rsidR="00000000" w:rsidRPr="00000000">
              <w:rPr>
                <w:rFonts w:ascii="PT Sans" w:cs="PT Sans" w:eastAsia="PT Sans" w:hAnsi="PT Sans"/>
                <w:i w:val="1"/>
                <w:iCs w:val="1"/>
                <w:highlight w:val="white"/>
                <w:rtl w:val="0"/>
              </w:rPr>
              <w:t xml:space="preserve">Lenguas de España </w:t>
            </w:r>
            <w:r w:rsidDel="00000000" w:rsidR="00000000" w:rsidRPr="00000000">
              <w:rPr>
                <w:rFonts w:ascii="PT Sans" w:cs="PT Sans" w:eastAsia="PT Sans" w:hAnsi="PT Sans"/>
                <w:i w:val="1"/>
                <w:iCs w:val="1"/>
                <w:highlight w:val="white"/>
                <w:rtl w:val="0"/>
              </w:rPr>
              <w:t xml:space="preserve">Combatiendo los prejuicios en torno a la realidad lingüística española.</w:t>
            </w:r>
            <w:r w:rsidDel="00000000" w:rsidR="00000000" w:rsidRPr="00000000">
              <w:rPr>
                <w:rFonts w:ascii="PT Sans" w:cs="PT Sans" w:eastAsia="PT Sans" w:hAnsi="PT Sans"/>
                <w:highlight w:val="white"/>
                <w:rtl w:val="0"/>
              </w:rPr>
              <w:t xml:space="preserve"> Gijón, Tarea. ISBN 9788418932496</w:t>
            </w:r>
          </w:p>
          <w:p w:rsidR="00000000" w:rsidDel="00000000" w:rsidP="00000000" w:rsidRDefault="00000000" w:rsidRPr="00000000" w14:paraId="00000022">
            <w:pPr>
              <w:ind w:right="-98"/>
              <w:jc w:val="both"/>
              <w:rPr>
                <w:rFonts w:ascii="PT Sans" w:cs="PT Sans" w:eastAsia="PT Sans" w:hAnsi="PT Sans"/>
              </w:rPr>
            </w:pPr>
            <w:r w:rsidDel="00000000" w:rsidR="00000000" w:rsidRPr="00000000">
              <w:rPr>
                <w:rFonts w:ascii="PT Sans" w:cs="PT Sans" w:eastAsia="PT Sans" w:hAnsi="PT Sans"/>
                <w:rtl w:val="0"/>
              </w:rPr>
              <w:t xml:space="preserve">Kern, R. (1995): </w:t>
            </w:r>
            <w:r w:rsidDel="00000000" w:rsidR="00000000" w:rsidRPr="00000000">
              <w:rPr>
                <w:rFonts w:ascii="PT Sans" w:cs="PT Sans" w:eastAsia="PT Sans" w:hAnsi="PT Sans"/>
                <w:i w:val="1"/>
                <w:iCs w:val="1"/>
                <w:color w:val="333333"/>
                <w:rtl w:val="0"/>
              </w:rPr>
              <w:t xml:space="preserve">The Regions of Spain</w:t>
            </w:r>
            <w:r w:rsidDel="00000000" w:rsidR="00000000" w:rsidRPr="00000000">
              <w:rPr>
                <w:rFonts w:ascii="PT Sans" w:cs="PT Sans" w:eastAsia="PT Sans" w:hAnsi="PT Sans"/>
                <w:i w:val="1"/>
                <w:iCs w:val="1"/>
                <w:color w:val="333333"/>
                <w:rtl w:val="0"/>
              </w:rPr>
              <w:t xml:space="preserve">: </w:t>
            </w:r>
            <w:r w:rsidDel="00000000" w:rsidR="00000000" w:rsidRPr="00000000">
              <w:rPr>
                <w:rFonts w:ascii="PT Sans" w:cs="PT Sans" w:eastAsia="PT Sans" w:hAnsi="PT Sans"/>
                <w:i w:val="1"/>
                <w:iCs w:val="1"/>
                <w:color w:val="333333"/>
                <w:rtl w:val="0"/>
              </w:rPr>
              <w:t xml:space="preserve">A Reference Guide to History and Culture.</w:t>
            </w:r>
            <w:r w:rsidDel="00000000" w:rsidR="00000000" w:rsidRPr="00000000">
              <w:rPr>
                <w:rFonts w:ascii="PT Sans" w:cs="PT Sans" w:eastAsia="PT Sans" w:hAnsi="PT Sans"/>
                <w:color w:val="333333"/>
                <w:rtl w:val="0"/>
              </w:rPr>
              <w:t xml:space="preserve"> New York, </w:t>
            </w:r>
            <w:r w:rsidDel="00000000" w:rsidR="00000000" w:rsidRPr="00000000">
              <w:rPr>
                <w:rFonts w:ascii="PT Sans" w:cs="PT Sans" w:eastAsia="PT Sans" w:hAnsi="PT Sans"/>
                <w:highlight w:val="white"/>
                <w:rtl w:val="0"/>
              </w:rPr>
              <w:t xml:space="preserve">Bloomsbury Academic. ISBN 9780313292248</w:t>
            </w:r>
            <w:r w:rsidDel="00000000" w:rsidR="00000000" w:rsidRPr="00000000">
              <w:rPr>
                <w:rtl w:val="0"/>
              </w:rPr>
            </w:r>
          </w:p>
          <w:p w:rsidR="00000000" w:rsidDel="00000000" w:rsidP="00000000" w:rsidRDefault="00000000" w:rsidRPr="00000000" w14:paraId="00000023">
            <w:pPr>
              <w:ind w:right="-98"/>
              <w:jc w:val="both"/>
              <w:rPr>
                <w:rFonts w:ascii="PT Sans" w:cs="PT Sans" w:eastAsia="PT Sans" w:hAnsi="PT Sans"/>
              </w:rPr>
            </w:pPr>
            <w:r w:rsidDel="00000000" w:rsidR="00000000" w:rsidRPr="00000000">
              <w:rPr>
                <w:rFonts w:ascii="PT Sans" w:cs="PT Sans" w:eastAsia="PT Sans" w:hAnsi="PT Sans"/>
                <w:rtl w:val="0"/>
              </w:rPr>
              <w:t xml:space="preserve">El acite de oliva: </w:t>
            </w:r>
            <w:hyperlink r:id="rId8">
              <w:r w:rsidDel="00000000" w:rsidR="00000000" w:rsidRPr="00000000">
                <w:rPr>
                  <w:rFonts w:ascii="PT Sans" w:cs="PT Sans" w:eastAsia="PT Sans" w:hAnsi="PT Sans"/>
                  <w:color w:val="467886"/>
                  <w:u w:val="single"/>
                  <w:rtl w:val="0"/>
                </w:rPr>
                <w:t xml:space="preserve">https://www.youtube.com/watch?v=cdGac6rGHks</w:t>
              </w:r>
            </w:hyperlink>
            <w:r w:rsidDel="00000000" w:rsidR="00000000" w:rsidRPr="00000000">
              <w:rPr>
                <w:rtl w:val="0"/>
              </w:rPr>
            </w:r>
          </w:p>
          <w:p w:rsidR="00000000" w:rsidDel="00000000" w:rsidP="00000000" w:rsidRDefault="00000000" w:rsidRPr="00000000" w14:paraId="00000024">
            <w:pPr>
              <w:ind w:right="-98"/>
              <w:jc w:val="both"/>
              <w:rPr>
                <w:rFonts w:ascii="PT Sans" w:cs="PT Sans" w:eastAsia="PT Sans" w:hAnsi="PT Sans"/>
              </w:rPr>
            </w:pPr>
            <w:r w:rsidDel="00000000" w:rsidR="00000000" w:rsidRPr="00000000">
              <w:rPr>
                <w:rFonts w:ascii="PT Sans" w:cs="PT Sans" w:eastAsia="PT Sans" w:hAnsi="PT Sans"/>
                <w:rtl w:val="0"/>
              </w:rPr>
              <w:t xml:space="preserve">El jamón ibérico: </w:t>
            </w:r>
            <w:hyperlink r:id="rId9">
              <w:r w:rsidDel="00000000" w:rsidR="00000000" w:rsidRPr="00000000">
                <w:rPr>
                  <w:rFonts w:ascii="PT Sans" w:cs="PT Sans" w:eastAsia="PT Sans" w:hAnsi="PT Sans"/>
                  <w:color w:val="467886"/>
                  <w:u w:val="single"/>
                  <w:rtl w:val="0"/>
                </w:rPr>
                <w:t xml:space="preserve">https://josejara.es/blog/8-diferencias-entre-jamon-iberico-y-jamon-serrano/</w:t>
              </w:r>
            </w:hyperlink>
            <w:r w:rsidDel="00000000" w:rsidR="00000000" w:rsidRPr="00000000">
              <w:rPr>
                <w:rtl w:val="0"/>
              </w:rPr>
            </w:r>
          </w:p>
          <w:p w:rsidR="00000000" w:rsidDel="00000000" w:rsidP="00000000" w:rsidRDefault="00000000" w:rsidRPr="00000000" w14:paraId="00000025">
            <w:pPr>
              <w:ind w:right="-98"/>
              <w:jc w:val="both"/>
              <w:rPr>
                <w:rFonts w:ascii="PT Sans" w:cs="PT Sans" w:eastAsia="PT Sans" w:hAnsi="PT Sans"/>
              </w:rPr>
            </w:pPr>
            <w:r w:rsidDel="00000000" w:rsidR="00000000" w:rsidRPr="00000000">
              <w:rPr>
                <w:rFonts w:ascii="PT Sans" w:cs="PT Sans" w:eastAsia="PT Sans" w:hAnsi="PT Sans"/>
                <w:rtl w:val="0"/>
              </w:rPr>
              <w:t xml:space="preserve">El queso manchego: </w:t>
            </w:r>
            <w:hyperlink r:id="rId10">
              <w:r w:rsidDel="00000000" w:rsidR="00000000" w:rsidRPr="00000000">
                <w:rPr>
                  <w:rFonts w:ascii="PT Sans" w:cs="PT Sans" w:eastAsia="PT Sans" w:hAnsi="PT Sans"/>
                  <w:color w:val="467886"/>
                  <w:u w:val="single"/>
                  <w:rtl w:val="0"/>
                </w:rPr>
                <w:t xml:space="preserve">https://www.quesomanchego.es/</w:t>
              </w:r>
            </w:hyperlink>
            <w:r w:rsidDel="00000000" w:rsidR="00000000" w:rsidRPr="00000000">
              <w:rPr>
                <w:rtl w:val="0"/>
              </w:rPr>
            </w:r>
          </w:p>
          <w:p w:rsidR="00000000" w:rsidDel="00000000" w:rsidP="00000000" w:rsidRDefault="00000000" w:rsidRPr="00000000" w14:paraId="00000026">
            <w:pPr>
              <w:ind w:right="-98"/>
              <w:jc w:val="both"/>
              <w:rPr>
                <w:rFonts w:ascii="PT Sans" w:cs="PT Sans" w:eastAsia="PT Sans" w:hAnsi="PT Sans"/>
                <w:b w:val="1"/>
                <w:bCs w:val="1"/>
              </w:rPr>
            </w:pPr>
            <w:r w:rsidDel="00000000" w:rsidR="00000000" w:rsidRPr="00000000">
              <w:rPr>
                <w:rFonts w:ascii="PT Sans" w:cs="PT Sans" w:eastAsia="PT Sans" w:hAnsi="PT Sans"/>
                <w:rtl w:val="0"/>
              </w:rPr>
              <w:t xml:space="preserve">El vino espanol: </w:t>
            </w:r>
            <w:hyperlink r:id="rId11">
              <w:r w:rsidDel="00000000" w:rsidR="00000000" w:rsidRPr="00000000">
                <w:rPr>
                  <w:rFonts w:ascii="PT Sans" w:cs="PT Sans" w:eastAsia="PT Sans" w:hAnsi="PT Sans"/>
                  <w:color w:val="467886"/>
                  <w:u w:val="single"/>
                  <w:rtl w:val="0"/>
                </w:rPr>
                <w:t xml:space="preserve">https://www.riberadelduero.es/</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Elmélet-gyakorlat aránya: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Elméleti óra óraszáma: 2-2/10-10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óra óraszáma: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alkalmazott oktatási módszerek: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Előadások (elméleti háttér bemutatása)</w:t>
            </w:r>
          </w:p>
          <w:p w:rsidR="00000000" w:rsidDel="00000000" w:rsidP="00000000" w:rsidRDefault="00000000" w:rsidRPr="00000000" w14:paraId="0000002D">
            <w:pPr>
              <w:numPr>
                <w:ilvl w:val="0"/>
                <w:numId w:val="4"/>
              </w:numPr>
              <w:tabs>
                <w:tab w:val="left" w:leader="none" w:pos="3780"/>
              </w:tabs>
              <w:ind w:left="720" w:hanging="360"/>
              <w:rPr>
                <w:rFonts w:ascii="PT Sans" w:cs="PT Sans" w:eastAsia="PT Sans" w:hAnsi="PT Sans"/>
                <w:sz w:val="16"/>
                <w:szCs w:val="16"/>
              </w:rPr>
            </w:pPr>
            <w:r w:rsidDel="00000000" w:rsidR="00000000" w:rsidRPr="00000000">
              <w:rPr>
                <w:rFonts w:ascii="PT Sans" w:cs="PT Sans" w:eastAsia="PT Sans" w:hAnsi="PT Sans"/>
                <w:rtl w:val="0"/>
              </w:rPr>
              <w:t xml:space="preserve">Csoportos viták a kulturális különbségekről</w:t>
            </w:r>
            <w:r w:rsidDel="00000000" w:rsidR="00000000" w:rsidRPr="00000000">
              <w:rPr>
                <w:rtl w:val="0"/>
              </w:rPr>
            </w:r>
          </w:p>
          <w:p w:rsidR="00000000" w:rsidDel="00000000" w:rsidP="00000000" w:rsidRDefault="00000000" w:rsidRPr="00000000" w14:paraId="0000002E">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Csoportmunka és projektalapú tanulás</w:t>
            </w:r>
          </w:p>
          <w:p w:rsidR="00000000" w:rsidDel="00000000" w:rsidP="00000000" w:rsidRDefault="00000000" w:rsidRPr="00000000" w14:paraId="0000002F">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Multimédiás anyagok (filmek, zenei példák, dokumentumok) feldolgozása</w:t>
            </w:r>
          </w:p>
          <w:p w:rsidR="00000000" w:rsidDel="00000000" w:rsidP="00000000" w:rsidRDefault="00000000" w:rsidRPr="00000000" w14:paraId="00000030">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Hallgatói prezentációk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módja: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kollokvium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kritériuma: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numPr>
                <w:ilvl w:val="0"/>
                <w:numId w:val="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Órai részvétel és aktív közreműködés</w:t>
            </w:r>
          </w:p>
          <w:p w:rsidR="00000000" w:rsidDel="00000000" w:rsidP="00000000" w:rsidRDefault="00000000" w:rsidRPr="00000000" w14:paraId="00000037">
            <w:pPr>
              <w:numPr>
                <w:ilvl w:val="0"/>
                <w:numId w:val="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Prezentáció egy választott régióról vagy nyelvi-kulturális témáról</w:t>
            </w:r>
          </w:p>
          <w:p w:rsidR="00000000" w:rsidDel="00000000" w:rsidP="00000000" w:rsidRDefault="00000000" w:rsidRPr="00000000" w14:paraId="00000038">
            <w:pPr>
              <w:numPr>
                <w:ilvl w:val="0"/>
                <w:numId w:val="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Projektmunka minősége és kreativitása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Miként járul hozzá a tantárgy a KKK-ban megjelölt kompetenciaelemek megszerzéséhez. Mutassa be a tantárgyleírásban, hogy a KKK-ban megjelölt kompetenciaelemek miként teljesülnek/teljesíthetők (</w:t>
            </w:r>
            <w:r w:rsidDel="00000000" w:rsidR="00000000" w:rsidRPr="00000000">
              <w:rPr>
                <w:rFonts w:ascii="PT Sans" w:cs="PT Sans" w:eastAsia="PT Sans" w:hAnsi="PT Sans"/>
                <w:i w:val="1"/>
                <w:iCs w:val="1"/>
                <w:rtl w:val="0"/>
              </w:rPr>
              <w:t xml:space="preserve">nem a KKK kompetencia-elemeinek másolását kérjük</w:t>
            </w:r>
            <w:r w:rsidDel="00000000" w:rsidR="00000000" w:rsidRPr="00000000">
              <w:rPr>
                <w:rFonts w:ascii="PT Sans" w:cs="PT Sans" w:eastAsia="PT Sans" w:hAnsi="PT Sans"/>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Tudás:</w:t>
            </w:r>
          </w:p>
          <w:p w:rsidR="00000000" w:rsidDel="00000000" w:rsidP="00000000" w:rsidRDefault="00000000" w:rsidRPr="00000000" w14:paraId="0000003C">
            <w:pPr>
              <w:numPr>
                <w:ilvl w:val="0"/>
                <w:numId w:val="1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az Ibériai-félsziget főbb nyelveit és azok jellemzőit</w:t>
            </w:r>
          </w:p>
          <w:p w:rsidR="00000000" w:rsidDel="00000000" w:rsidP="00000000" w:rsidRDefault="00000000" w:rsidRPr="00000000" w14:paraId="0000003D">
            <w:pPr>
              <w:numPr>
                <w:ilvl w:val="0"/>
                <w:numId w:val="1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spanyolországi Autonóm Tartományok rendszerét</w:t>
            </w:r>
          </w:p>
          <w:p w:rsidR="00000000" w:rsidDel="00000000" w:rsidP="00000000" w:rsidRDefault="00000000" w:rsidRPr="00000000" w14:paraId="0000003E">
            <w:pPr>
              <w:numPr>
                <w:ilvl w:val="0"/>
                <w:numId w:val="1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főbb regionális kulturális különbségeket </w:t>
            </w:r>
          </w:p>
          <w:p w:rsidR="00000000" w:rsidDel="00000000" w:rsidP="00000000" w:rsidRDefault="00000000" w:rsidRPr="00000000" w14:paraId="0000003F">
            <w:pPr>
              <w:numPr>
                <w:ilvl w:val="0"/>
                <w:numId w:val="1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nyelv és kultúra összefüggéseit</w:t>
            </w:r>
          </w:p>
          <w:p w:rsidR="00000000" w:rsidDel="00000000" w:rsidP="00000000" w:rsidRDefault="00000000" w:rsidRPr="00000000" w14:paraId="00000040">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Képesség:</w:t>
            </w:r>
          </w:p>
          <w:p w:rsidR="00000000" w:rsidDel="00000000" w:rsidP="00000000" w:rsidRDefault="00000000" w:rsidRPr="00000000" w14:paraId="00000041">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különböző nyelvek és kulturális jelenségek összehasonlítására</w:t>
            </w:r>
          </w:p>
          <w:p w:rsidR="00000000" w:rsidDel="00000000" w:rsidP="00000000" w:rsidRDefault="00000000" w:rsidRPr="00000000" w14:paraId="00000042">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kulturális különbségek felismerésére és értelmezésére</w:t>
            </w:r>
          </w:p>
          <w:p w:rsidR="00000000" w:rsidDel="00000000" w:rsidP="00000000" w:rsidRDefault="00000000" w:rsidRPr="00000000" w14:paraId="00000043">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a nyelvhasználat és regionális identitás közötti összefüggések felismerésére és bemutatására</w:t>
            </w:r>
          </w:p>
          <w:p w:rsidR="00000000" w:rsidDel="00000000" w:rsidP="00000000" w:rsidRDefault="00000000" w:rsidRPr="00000000" w14:paraId="00000044">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kulturális jelenségek (pl. ünnepek, gasztronómia, médiatartalmak) kontextusba helyezésére</w:t>
            </w:r>
          </w:p>
          <w:p w:rsidR="00000000" w:rsidDel="00000000" w:rsidP="00000000" w:rsidRDefault="00000000" w:rsidRPr="00000000" w14:paraId="00000045">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alapvető nyelvpolitikai kérdések (pl. többnyelvűség, nyelvi jogok) értelmezésére </w:t>
            </w:r>
          </w:p>
          <w:p w:rsidR="00000000" w:rsidDel="00000000" w:rsidP="00000000" w:rsidRDefault="00000000" w:rsidRPr="00000000" w14:paraId="00000046">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önállóan feldolgozni és bemutatni egy választott ibériai régió nyelvi és kulturális sajátosságait</w:t>
            </w:r>
          </w:p>
          <w:p w:rsidR="00000000" w:rsidDel="00000000" w:rsidP="00000000" w:rsidRDefault="00000000" w:rsidRPr="00000000" w14:paraId="00000047">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Attitűd:</w:t>
            </w:r>
          </w:p>
          <w:p w:rsidR="00000000" w:rsidDel="00000000" w:rsidP="00000000" w:rsidRDefault="00000000" w:rsidRPr="00000000" w14:paraId="00000048">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Nyitott a nyelvi és kulturális sokszínűség iránt</w:t>
            </w:r>
          </w:p>
          <w:p w:rsidR="00000000" w:rsidDel="00000000" w:rsidP="00000000" w:rsidRDefault="00000000" w:rsidRPr="00000000" w14:paraId="00000049">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Elfogadó más kultúrákkal és szokásokkal szemben</w:t>
            </w:r>
          </w:p>
          <w:p w:rsidR="00000000" w:rsidDel="00000000" w:rsidP="00000000" w:rsidRDefault="00000000" w:rsidRPr="00000000" w14:paraId="0000004A">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Érdeklődő a különböző kulturális jelenségek iránt</w:t>
            </w:r>
          </w:p>
          <w:p w:rsidR="00000000" w:rsidDel="00000000" w:rsidP="00000000" w:rsidRDefault="00000000" w:rsidRPr="00000000" w14:paraId="0000004B">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Autonómia és felelősség:</w:t>
            </w:r>
          </w:p>
          <w:p w:rsidR="00000000" w:rsidDel="00000000" w:rsidP="00000000" w:rsidRDefault="00000000" w:rsidRPr="00000000" w14:paraId="0000004C">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Önállóan feltárja és feldolgozza egy választott ibériai régió nyelvi és kulturális sajátosságait</w:t>
            </w:r>
          </w:p>
          <w:p w:rsidR="00000000" w:rsidDel="00000000" w:rsidP="00000000" w:rsidRDefault="00000000" w:rsidRPr="00000000" w14:paraId="0000004D">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Felelősséget vállal az általa végzett elemzések szakmai megalapozottságáért és forrásainak hitelességéért</w:t>
            </w:r>
          </w:p>
          <w:p w:rsidR="00000000" w:rsidDel="00000000" w:rsidP="00000000" w:rsidRDefault="00000000" w:rsidRPr="00000000" w14:paraId="0000004E">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Önállóan értelmezi a nyelvi és kulturális jelenségeket, és képes azokat árnyaltan bemutatni</w:t>
            </w:r>
          </w:p>
          <w:p w:rsidR="00000000" w:rsidDel="00000000" w:rsidP="00000000" w:rsidRDefault="00000000" w:rsidRPr="00000000" w14:paraId="0000004F">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Tudatosan kezeli a kulturális különbségeket, és felelősségteljesen viszonyul az érzékeny identitásbeli kérdésekhez</w:t>
            </w:r>
          </w:p>
          <w:p w:rsidR="00000000" w:rsidDel="00000000" w:rsidP="00000000" w:rsidRDefault="00000000" w:rsidRPr="00000000" w14:paraId="00000050">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Saját tanulási folyamatát képes megtervezni és reflektíven értékelni, különös tekintettel a nyelvi-kulturális tartalmak feldolgozására</w:t>
            </w:r>
          </w:p>
          <w:p w:rsidR="00000000" w:rsidDel="00000000" w:rsidP="00000000" w:rsidRDefault="00000000" w:rsidRPr="00000000" w14:paraId="00000051">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Felelősségteljesen képviseli saját álláspontját nyelvi és kulturális kérdésekben, figyelembe véve a különböző regionális nézőpontokat</w:t>
            </w: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spacing w:after="160" w:line="259" w:lineRule="auto"/>
        <w:rPr/>
      </w:pPr>
      <w:r w:rsidDel="00000000" w:rsidR="00000000" w:rsidRPr="00000000">
        <w:br w:type="page"/>
      </w:r>
      <w:r w:rsidDel="00000000" w:rsidR="00000000" w:rsidRPr="00000000">
        <w:rPr>
          <w:rtl w:val="0"/>
        </w:rPr>
      </w:r>
    </w:p>
    <w:tbl>
      <w:tblPr>
        <w:tblStyle w:val="Table2"/>
        <w:tblpPr w:leftFromText="141" w:rightFromText="141" w:topFromText="0" w:bottomFromText="0" w:vertAnchor="text" w:horzAnchor="text" w:tblpX="1139" w:tblpY="0"/>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119"/>
        <w:gridCol w:w="3118"/>
        <w:tblGridChange w:id="0">
          <w:tblGrid>
            <w:gridCol w:w="3397"/>
            <w:gridCol w:w="3119"/>
            <w:gridCol w:w="3118"/>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tabs>
                <w:tab w:val="left" w:leader="none" w:pos="3780"/>
              </w:tabs>
              <w:rPr>
                <w:rFonts w:ascii="PT Sans" w:cs="PT Sans" w:eastAsia="PT Sans" w:hAnsi="PT Sans"/>
                <w:highlight w:val="yellow"/>
              </w:rPr>
            </w:pPr>
            <w:r w:rsidDel="00000000" w:rsidR="00000000" w:rsidRPr="00000000">
              <w:rPr>
                <w:rFonts w:ascii="PT Sans" w:cs="PT Sans" w:eastAsia="PT Sans" w:hAnsi="PT Sans"/>
                <w:rtl w:val="0"/>
              </w:rPr>
              <w:t xml:space="preserve">Subject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BBNRS19000, BBNRS19100 / BBLRS19000,  BBLRS19100 Cultures and Languages of the Iberian Peninsula 1-2.</w:t>
            </w:r>
          </w:p>
        </w:tc>
      </w:tr>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Subject coordinator: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Zavaleta Mejía Julio Felipe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jc w:val="both"/>
              <w:rPr>
                <w:rFonts w:ascii="PT Sans" w:cs="PT Sans" w:eastAsia="PT Sans" w:hAnsi="PT Sans"/>
              </w:rPr>
            </w:pPr>
            <w:r w:rsidDel="00000000" w:rsidR="00000000" w:rsidRPr="00000000">
              <w:rPr>
                <w:rFonts w:ascii="PT Sans" w:cs="PT Sans" w:eastAsia="PT Sans" w:hAnsi="PT Sans"/>
                <w:rtl w:val="0"/>
              </w:rPr>
              <w:t xml:space="preserve">Lecturer(s) of the subject: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Zavaleta Mejía Julio Felipe, Dr. Miguel García Viñolo, Carles Bartual Martín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jc w:val="both"/>
              <w:rPr>
                <w:rFonts w:ascii="PT Sans" w:cs="PT Sans" w:eastAsia="PT Sans" w:hAnsi="PT Sans"/>
              </w:rPr>
            </w:pPr>
            <w:r w:rsidDel="00000000" w:rsidR="00000000" w:rsidRPr="00000000">
              <w:rPr>
                <w:rFonts w:ascii="PT Sans" w:cs="PT Sans" w:eastAsia="PT Sans" w:hAnsi="PT Sans"/>
                <w:rtl w:val="0"/>
              </w:rPr>
              <w:t xml:space="preserve">Brief subject description: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tabs>
                <w:tab w:val="left" w:leader="none" w:pos="3780"/>
              </w:tabs>
              <w:jc w:val="both"/>
              <w:rPr>
                <w:rFonts w:ascii="PT Sans" w:cs="PT Sans" w:eastAsia="PT Sans" w:hAnsi="PT Sans"/>
                <w:sz w:val="16"/>
                <w:szCs w:val="16"/>
              </w:rPr>
            </w:pPr>
            <w:r w:rsidDel="00000000" w:rsidR="00000000" w:rsidRPr="00000000">
              <w:rPr>
                <w:rFonts w:ascii="PT Sans" w:cs="PT Sans" w:eastAsia="PT Sans" w:hAnsi="PT Sans"/>
                <w:rtl w:val="0"/>
              </w:rPr>
              <w:t xml:space="preserve">The aim of the course is to present the linguistic and cultural diversity of the Iberian Peninsula. Students become familiar with the region’s other languages (such as Portuguese, Catalan, Basque, and Galician), as well as their history, social roles, and cultural embeddedness. Special attention is given to the Autonomous Communities of Spain, which possess distinct linguistic, cultural, and identity-related characteristics, and whose traditions and customs may differ significantly from one another. Students also gain insight into regional identities, festivals, and gastronomic traditions.</w:t>
            </w:r>
            <w:r w:rsidDel="00000000" w:rsidR="00000000" w:rsidRPr="00000000">
              <w:rPr>
                <w:rtl w:val="0"/>
              </w:rPr>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Theoretical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Linguistic map of the Iberian Peninsula</w:t>
            </w:r>
          </w:p>
          <w:p w:rsidR="00000000" w:rsidDel="00000000" w:rsidP="00000000" w:rsidRDefault="00000000" w:rsidRPr="00000000" w14:paraId="00000063">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Language policy and linguistic rights in the region</w:t>
            </w:r>
          </w:p>
          <w:p w:rsidR="00000000" w:rsidDel="00000000" w:rsidP="00000000" w:rsidRDefault="00000000" w:rsidRPr="00000000" w14:paraId="00000064">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Regional identities and cultural differences</w:t>
            </w:r>
          </w:p>
          <w:p w:rsidR="00000000" w:rsidDel="00000000" w:rsidP="00000000" w:rsidRDefault="00000000" w:rsidRPr="00000000" w14:paraId="00000065">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Gastronomy and festivals</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numPr>
                <w:ilvl w:val="0"/>
                <w:numId w:val="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Recognition and basic comparison of linguistic differences</w:t>
            </w:r>
          </w:p>
          <w:p w:rsidR="00000000" w:rsidDel="00000000" w:rsidP="00000000" w:rsidRDefault="00000000" w:rsidRPr="00000000" w14:paraId="00000069">
            <w:pPr>
              <w:numPr>
                <w:ilvl w:val="0"/>
                <w:numId w:val="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Interpretation of regional cultural phenomena (e.g. festivals, music, gastronomy)</w:t>
            </w:r>
          </w:p>
          <w:p w:rsidR="00000000" w:rsidDel="00000000" w:rsidP="00000000" w:rsidRDefault="00000000" w:rsidRPr="00000000" w14:paraId="0000006A">
            <w:pPr>
              <w:numPr>
                <w:ilvl w:val="0"/>
                <w:numId w:val="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Preparation of presentations on an Autonomous Community or a cultural topic</w:t>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required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ind w:right="-98"/>
              <w:jc w:val="both"/>
              <w:rPr>
                <w:rFonts w:ascii="PT Sans" w:cs="PT Sans" w:eastAsia="PT Sans" w:hAnsi="PT Sans"/>
                <w:sz w:val="16"/>
                <w:szCs w:val="16"/>
              </w:rPr>
            </w:pPr>
            <w:r w:rsidDel="00000000" w:rsidR="00000000" w:rsidRPr="00000000">
              <w:rPr>
                <w:rFonts w:ascii="PT Sans" w:cs="PT Sans" w:eastAsia="PT Sans" w:hAnsi="PT Sans"/>
                <w:color w:val="333333"/>
                <w:shd w:fill="efeeef" w:val="clear"/>
                <w:rtl w:val="0"/>
              </w:rPr>
              <w:t xml:space="preserve">Mónica Castillo Lluch, M. - Kabatek, J. (eds.) (2006):</w:t>
            </w:r>
            <w:r w:rsidDel="00000000" w:rsidR="00000000" w:rsidRPr="00000000">
              <w:rPr>
                <w:rFonts w:ascii="PT Sans" w:cs="PT Sans" w:eastAsia="PT Sans" w:hAnsi="PT Sans"/>
                <w:i w:val="1"/>
                <w:iCs w:val="1"/>
                <w:color w:val="333333"/>
                <w:shd w:fill="efeeef" w:val="clear"/>
                <w:rtl w:val="0"/>
              </w:rPr>
              <w:t xml:space="preserve"> Las Lenguas de España. Política lingüística, sociología del lenguaje e ideología desde la Transición hasta la actualidad.</w:t>
            </w:r>
            <w:r w:rsidDel="00000000" w:rsidR="00000000" w:rsidRPr="00000000">
              <w:rPr>
                <w:rFonts w:ascii="PT Sans" w:cs="PT Sans" w:eastAsia="PT Sans" w:hAnsi="PT Sans"/>
                <w:color w:val="333333"/>
                <w:shd w:fill="efeeef" w:val="clear"/>
                <w:rtl w:val="0"/>
              </w:rPr>
              <w:t xml:space="preserve"> Madrid, Iberoamericana Vervuert.  ISBN 9788484892168</w:t>
            </w:r>
            <w:r w:rsidDel="00000000" w:rsidR="00000000" w:rsidRPr="00000000">
              <w:rPr>
                <w:rtl w:val="0"/>
              </w:rPr>
            </w:r>
          </w:p>
          <w:p w:rsidR="00000000" w:rsidDel="00000000" w:rsidP="00000000" w:rsidRDefault="00000000" w:rsidRPr="00000000" w14:paraId="0000006E">
            <w:pPr>
              <w:ind w:right="-98"/>
              <w:jc w:val="both"/>
              <w:rPr>
                <w:rFonts w:ascii="PT Sans" w:cs="PT Sans" w:eastAsia="PT Sans" w:hAnsi="PT Sans"/>
              </w:rPr>
            </w:pPr>
            <w:r w:rsidDel="00000000" w:rsidR="00000000" w:rsidRPr="00000000">
              <w:rPr>
                <w:rFonts w:ascii="PT Sans" w:cs="PT Sans" w:eastAsia="PT Sans" w:hAnsi="PT Sans"/>
                <w:rtl w:val="0"/>
              </w:rPr>
              <w:t xml:space="preserve">López García-Molins, Á. (2020): </w:t>
            </w:r>
            <w:r w:rsidDel="00000000" w:rsidR="00000000" w:rsidRPr="00000000">
              <w:rPr>
                <w:rFonts w:ascii="PT Sans" w:cs="PT Sans" w:eastAsia="PT Sans" w:hAnsi="PT Sans"/>
                <w:i w:val="1"/>
                <w:iCs w:val="1"/>
                <w:rtl w:val="0"/>
              </w:rPr>
              <w:t xml:space="preserve">Repensar España desde sus lenguas.</w:t>
            </w:r>
            <w:r w:rsidDel="00000000" w:rsidR="00000000" w:rsidRPr="00000000">
              <w:rPr>
                <w:rFonts w:ascii="PT Sans" w:cs="PT Sans" w:eastAsia="PT Sans" w:hAnsi="PT Sans"/>
                <w:rtl w:val="0"/>
              </w:rPr>
              <w:t xml:space="preserve"> Barcelona: El Viejo Topo.. ISBN 9788418550119</w:t>
            </w:r>
          </w:p>
          <w:p w:rsidR="00000000" w:rsidDel="00000000" w:rsidP="00000000" w:rsidRDefault="00000000" w:rsidRPr="00000000" w14:paraId="0000006F">
            <w:pPr>
              <w:ind w:right="-98"/>
              <w:jc w:val="both"/>
              <w:rPr>
                <w:rFonts w:ascii="PT Sans" w:cs="PT Sans" w:eastAsia="PT Sans" w:hAnsi="PT Sans"/>
              </w:rPr>
            </w:pPr>
            <w:r w:rsidDel="00000000" w:rsidR="00000000" w:rsidRPr="00000000">
              <w:rPr>
                <w:rFonts w:ascii="PT Sans" w:cs="PT Sans" w:eastAsia="PT Sans" w:hAnsi="PT Sans"/>
                <w:rtl w:val="0"/>
              </w:rPr>
              <w:t xml:space="preserve">Quesada Marco, S. (2016). </w:t>
            </w:r>
            <w:r w:rsidDel="00000000" w:rsidR="00000000" w:rsidRPr="00000000">
              <w:rPr>
                <w:rFonts w:ascii="PT Sans" w:cs="PT Sans" w:eastAsia="PT Sans" w:hAnsi="PT Sans"/>
                <w:i w:val="1"/>
                <w:iCs w:val="1"/>
                <w:rtl w:val="0"/>
              </w:rPr>
              <w:t xml:space="preserve">Curso monográfico sobre la España contemporánea. España siglo XXI.</w:t>
            </w:r>
            <w:r w:rsidDel="00000000" w:rsidR="00000000" w:rsidRPr="00000000">
              <w:rPr>
                <w:rFonts w:ascii="PT Sans" w:cs="PT Sans" w:eastAsia="PT Sans" w:hAnsi="PT Sans"/>
                <w:rtl w:val="0"/>
              </w:rPr>
              <w:t xml:space="preserve"> Madrid: Edelsa, ISBN 978849081839</w:t>
            </w:r>
          </w:p>
          <w:p w:rsidR="00000000" w:rsidDel="00000000" w:rsidP="00000000" w:rsidRDefault="00000000" w:rsidRPr="00000000" w14:paraId="00000070">
            <w:pPr>
              <w:ind w:right="-98"/>
              <w:jc w:val="both"/>
              <w:rPr>
                <w:rFonts w:ascii="PT Sans" w:cs="PT Sans" w:eastAsia="PT Sans" w:hAnsi="PT Sans"/>
              </w:rPr>
            </w:pPr>
            <w:hyperlink r:id="rId12">
              <w:r w:rsidDel="00000000" w:rsidR="00000000" w:rsidRPr="00000000">
                <w:rPr>
                  <w:rFonts w:ascii="PT Sans" w:cs="PT Sans" w:eastAsia="PT Sans" w:hAnsi="PT Sans"/>
                  <w:color w:val="1155cc"/>
                  <w:u w:val="single"/>
                  <w:rtl w:val="0"/>
                </w:rPr>
                <w:t xml:space="preserve">https://es.scribd.com/document/685168899/Espana-Siglo-XXI</w:t>
              </w:r>
            </w:hyperlink>
            <w:r w:rsidDel="00000000" w:rsidR="00000000" w:rsidRPr="00000000">
              <w:rPr>
                <w:rtl w:val="0"/>
              </w:rPr>
            </w:r>
          </w:p>
          <w:p w:rsidR="00000000" w:rsidDel="00000000" w:rsidP="00000000" w:rsidRDefault="00000000" w:rsidRPr="00000000" w14:paraId="00000071">
            <w:pPr>
              <w:ind w:right="-98"/>
              <w:jc w:val="both"/>
              <w:rPr>
                <w:rFonts w:ascii="PT Sans" w:cs="PT Sans" w:eastAsia="PT Sans" w:hAnsi="PT Sans"/>
              </w:rPr>
            </w:pPr>
            <w:r w:rsidDel="00000000" w:rsidR="00000000" w:rsidRPr="00000000">
              <w:rPr>
                <w:rFonts w:ascii="PT Sans" w:cs="PT Sans" w:eastAsia="PT Sans" w:hAnsi="PT Sans"/>
                <w:rtl w:val="0"/>
              </w:rPr>
              <w:t xml:space="preserve">Pereira-Muro, C. (2014): </w:t>
            </w:r>
            <w:r w:rsidDel="00000000" w:rsidR="00000000" w:rsidRPr="00000000">
              <w:rPr>
                <w:rFonts w:ascii="PT Sans" w:cs="PT Sans" w:eastAsia="PT Sans" w:hAnsi="PT Sans"/>
                <w:i w:val="1"/>
                <w:iCs w:val="1"/>
                <w:rtl w:val="0"/>
              </w:rPr>
              <w:t xml:space="preserve">Culturas de España.</w:t>
            </w:r>
            <w:r w:rsidDel="00000000" w:rsidR="00000000" w:rsidRPr="00000000">
              <w:rPr>
                <w:rFonts w:ascii="PT Sans" w:cs="PT Sans" w:eastAsia="PT Sans" w:hAnsi="PT Sans"/>
                <w:rtl w:val="0"/>
              </w:rPr>
              <w:t xml:space="preserve"> Boston, Heinle. ISNB </w:t>
            </w:r>
            <w:r w:rsidDel="00000000" w:rsidR="00000000" w:rsidRPr="00000000">
              <w:rPr>
                <w:rFonts w:ascii="PT Sans" w:cs="PT Sans" w:eastAsia="PT Sans" w:hAnsi="PT Sans"/>
                <w:color w:val="0f1111"/>
                <w:highlight w:val="white"/>
                <w:rtl w:val="0"/>
              </w:rPr>
              <w:t xml:space="preserve">9781285053646</w:t>
            </w:r>
            <w:r w:rsidDel="00000000" w:rsidR="00000000" w:rsidRPr="00000000">
              <w:rPr>
                <w:rtl w:val="0"/>
              </w:rPr>
            </w:r>
          </w:p>
        </w:tc>
      </w:tr>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recommended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ind w:right="-98"/>
              <w:jc w:val="both"/>
              <w:rPr>
                <w:rFonts w:ascii="PT Sans" w:cs="PT Sans" w:eastAsia="PT Sans" w:hAnsi="PT Sans"/>
                <w:highlight w:val="white"/>
              </w:rPr>
            </w:pPr>
            <w:r w:rsidDel="00000000" w:rsidR="00000000" w:rsidRPr="00000000">
              <w:rPr>
                <w:rFonts w:ascii="PT Sans" w:cs="PT Sans" w:eastAsia="PT Sans" w:hAnsi="PT Sans"/>
                <w:highlight w:val="white"/>
                <w:rtl w:val="0"/>
              </w:rPr>
              <w:t xml:space="preserve">Pinto Pajares, D. (2022): </w:t>
            </w:r>
            <w:r w:rsidDel="00000000" w:rsidR="00000000" w:rsidRPr="00000000">
              <w:rPr>
                <w:rFonts w:ascii="PT Sans" w:cs="PT Sans" w:eastAsia="PT Sans" w:hAnsi="PT Sans"/>
                <w:i w:val="1"/>
                <w:iCs w:val="1"/>
                <w:highlight w:val="white"/>
                <w:rtl w:val="0"/>
              </w:rPr>
              <w:t xml:space="preserve">Lenguas de España Combatiendo los prejuicios en torno a la realidad lingüística española.</w:t>
            </w:r>
            <w:r w:rsidDel="00000000" w:rsidR="00000000" w:rsidRPr="00000000">
              <w:rPr>
                <w:rFonts w:ascii="PT Sans" w:cs="PT Sans" w:eastAsia="PT Sans" w:hAnsi="PT Sans"/>
                <w:highlight w:val="white"/>
                <w:rtl w:val="0"/>
              </w:rPr>
              <w:t xml:space="preserve"> Gijón, Tarea. ISBN 9788418932496</w:t>
            </w:r>
          </w:p>
          <w:p w:rsidR="00000000" w:rsidDel="00000000" w:rsidP="00000000" w:rsidRDefault="00000000" w:rsidRPr="00000000" w14:paraId="00000075">
            <w:pPr>
              <w:ind w:right="-98"/>
              <w:jc w:val="both"/>
              <w:rPr>
                <w:rFonts w:ascii="PT Sans" w:cs="PT Sans" w:eastAsia="PT Sans" w:hAnsi="PT Sans"/>
              </w:rPr>
            </w:pPr>
            <w:r w:rsidDel="00000000" w:rsidR="00000000" w:rsidRPr="00000000">
              <w:rPr>
                <w:rFonts w:ascii="PT Sans" w:cs="PT Sans" w:eastAsia="PT Sans" w:hAnsi="PT Sans"/>
                <w:rtl w:val="0"/>
              </w:rPr>
              <w:t xml:space="preserve">Kern, R. (1995): </w:t>
            </w:r>
            <w:r w:rsidDel="00000000" w:rsidR="00000000" w:rsidRPr="00000000">
              <w:rPr>
                <w:rFonts w:ascii="PT Sans" w:cs="PT Sans" w:eastAsia="PT Sans" w:hAnsi="PT Sans"/>
                <w:i w:val="1"/>
                <w:iCs w:val="1"/>
                <w:color w:val="333333"/>
                <w:rtl w:val="0"/>
              </w:rPr>
              <w:t xml:space="preserve">The Regions of Spain: A Reference Guide to History and Culture.</w:t>
            </w:r>
            <w:r w:rsidDel="00000000" w:rsidR="00000000" w:rsidRPr="00000000">
              <w:rPr>
                <w:rFonts w:ascii="PT Sans" w:cs="PT Sans" w:eastAsia="PT Sans" w:hAnsi="PT Sans"/>
                <w:color w:val="333333"/>
                <w:rtl w:val="0"/>
              </w:rPr>
              <w:t xml:space="preserve"> New York, </w:t>
            </w:r>
            <w:r w:rsidDel="00000000" w:rsidR="00000000" w:rsidRPr="00000000">
              <w:rPr>
                <w:rFonts w:ascii="PT Sans" w:cs="PT Sans" w:eastAsia="PT Sans" w:hAnsi="PT Sans"/>
                <w:highlight w:val="white"/>
                <w:rtl w:val="0"/>
              </w:rPr>
              <w:t xml:space="preserve">Bloomsbury Academic. ISBN 9780313292248</w:t>
            </w:r>
            <w:r w:rsidDel="00000000" w:rsidR="00000000" w:rsidRPr="00000000">
              <w:rPr>
                <w:rtl w:val="0"/>
              </w:rPr>
            </w:r>
          </w:p>
          <w:p w:rsidR="00000000" w:rsidDel="00000000" w:rsidP="00000000" w:rsidRDefault="00000000" w:rsidRPr="00000000" w14:paraId="00000076">
            <w:pPr>
              <w:ind w:right="-98"/>
              <w:jc w:val="both"/>
              <w:rPr>
                <w:rFonts w:ascii="PT Sans" w:cs="PT Sans" w:eastAsia="PT Sans" w:hAnsi="PT Sans"/>
              </w:rPr>
            </w:pPr>
            <w:r w:rsidDel="00000000" w:rsidR="00000000" w:rsidRPr="00000000">
              <w:rPr>
                <w:rFonts w:ascii="PT Sans" w:cs="PT Sans" w:eastAsia="PT Sans" w:hAnsi="PT Sans"/>
                <w:rtl w:val="0"/>
              </w:rPr>
              <w:t xml:space="preserve">El acite de oliva: </w:t>
            </w:r>
            <w:hyperlink r:id="rId13">
              <w:r w:rsidDel="00000000" w:rsidR="00000000" w:rsidRPr="00000000">
                <w:rPr>
                  <w:rFonts w:ascii="PT Sans" w:cs="PT Sans" w:eastAsia="PT Sans" w:hAnsi="PT Sans"/>
                  <w:color w:val="467886"/>
                  <w:u w:val="single"/>
                  <w:rtl w:val="0"/>
                </w:rPr>
                <w:t xml:space="preserve">https://www.youtube.com/watch?v=cdGac6rGHks</w:t>
              </w:r>
            </w:hyperlink>
            <w:r w:rsidDel="00000000" w:rsidR="00000000" w:rsidRPr="00000000">
              <w:rPr>
                <w:rtl w:val="0"/>
              </w:rPr>
            </w:r>
          </w:p>
          <w:p w:rsidR="00000000" w:rsidDel="00000000" w:rsidP="00000000" w:rsidRDefault="00000000" w:rsidRPr="00000000" w14:paraId="00000077">
            <w:pPr>
              <w:ind w:right="-98"/>
              <w:jc w:val="both"/>
              <w:rPr>
                <w:rFonts w:ascii="PT Sans" w:cs="PT Sans" w:eastAsia="PT Sans" w:hAnsi="PT Sans"/>
              </w:rPr>
            </w:pPr>
            <w:r w:rsidDel="00000000" w:rsidR="00000000" w:rsidRPr="00000000">
              <w:rPr>
                <w:rFonts w:ascii="PT Sans" w:cs="PT Sans" w:eastAsia="PT Sans" w:hAnsi="PT Sans"/>
                <w:rtl w:val="0"/>
              </w:rPr>
              <w:t xml:space="preserve">El jamón ibérico: </w:t>
            </w:r>
            <w:hyperlink r:id="rId14">
              <w:r w:rsidDel="00000000" w:rsidR="00000000" w:rsidRPr="00000000">
                <w:rPr>
                  <w:rFonts w:ascii="PT Sans" w:cs="PT Sans" w:eastAsia="PT Sans" w:hAnsi="PT Sans"/>
                  <w:color w:val="467886"/>
                  <w:u w:val="single"/>
                  <w:rtl w:val="0"/>
                </w:rPr>
                <w:t xml:space="preserve">https://josejara.es/blog/8-diferencias-entre-jamon-iberico-y-jamon-serrano/</w:t>
              </w:r>
            </w:hyperlink>
            <w:r w:rsidDel="00000000" w:rsidR="00000000" w:rsidRPr="00000000">
              <w:rPr>
                <w:rtl w:val="0"/>
              </w:rPr>
            </w:r>
          </w:p>
          <w:p w:rsidR="00000000" w:rsidDel="00000000" w:rsidP="00000000" w:rsidRDefault="00000000" w:rsidRPr="00000000" w14:paraId="00000078">
            <w:pPr>
              <w:ind w:right="-98"/>
              <w:jc w:val="both"/>
              <w:rPr>
                <w:rFonts w:ascii="PT Sans" w:cs="PT Sans" w:eastAsia="PT Sans" w:hAnsi="PT Sans"/>
              </w:rPr>
            </w:pPr>
            <w:r w:rsidDel="00000000" w:rsidR="00000000" w:rsidRPr="00000000">
              <w:rPr>
                <w:rFonts w:ascii="PT Sans" w:cs="PT Sans" w:eastAsia="PT Sans" w:hAnsi="PT Sans"/>
                <w:rtl w:val="0"/>
              </w:rPr>
              <w:t xml:space="preserve">El queso manchego: </w:t>
            </w:r>
            <w:hyperlink r:id="rId15">
              <w:r w:rsidDel="00000000" w:rsidR="00000000" w:rsidRPr="00000000">
                <w:rPr>
                  <w:rFonts w:ascii="PT Sans" w:cs="PT Sans" w:eastAsia="PT Sans" w:hAnsi="PT Sans"/>
                  <w:color w:val="467886"/>
                  <w:u w:val="single"/>
                  <w:rtl w:val="0"/>
                </w:rPr>
                <w:t xml:space="preserve">https://www.quesomanchego.es/</w:t>
              </w:r>
            </w:hyperlink>
            <w:r w:rsidDel="00000000" w:rsidR="00000000" w:rsidRPr="00000000">
              <w:rPr>
                <w:rtl w:val="0"/>
              </w:rPr>
            </w:r>
          </w:p>
          <w:p w:rsidR="00000000" w:rsidDel="00000000" w:rsidP="00000000" w:rsidRDefault="00000000" w:rsidRPr="00000000" w14:paraId="00000079">
            <w:pPr>
              <w:ind w:right="-98"/>
              <w:jc w:val="both"/>
              <w:rPr>
                <w:rFonts w:ascii="PT Sans" w:cs="PT Sans" w:eastAsia="PT Sans" w:hAnsi="PT Sans"/>
                <w:b w:val="1"/>
                <w:bCs w:val="1"/>
              </w:rPr>
            </w:pPr>
            <w:r w:rsidDel="00000000" w:rsidR="00000000" w:rsidRPr="00000000">
              <w:rPr>
                <w:rFonts w:ascii="PT Sans" w:cs="PT Sans" w:eastAsia="PT Sans" w:hAnsi="PT Sans"/>
                <w:rtl w:val="0"/>
              </w:rPr>
              <w:t xml:space="preserve">El vino espanol: </w:t>
            </w:r>
            <w:hyperlink r:id="rId16">
              <w:r w:rsidDel="00000000" w:rsidR="00000000" w:rsidRPr="00000000">
                <w:rPr>
                  <w:rFonts w:ascii="PT Sans" w:cs="PT Sans" w:eastAsia="PT Sans" w:hAnsi="PT Sans"/>
                  <w:color w:val="467886"/>
                  <w:u w:val="single"/>
                  <w:rtl w:val="0"/>
                </w:rPr>
                <w:t xml:space="preserve">https://www.riberadelduero.es/</w:t>
              </w:r>
            </w:hyperlink>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both"/>
              <w:rPr>
                <w:rFonts w:ascii="PT Sans" w:cs="PT Sans" w:eastAsia="PT Sans" w:hAnsi="PT Sans"/>
              </w:rPr>
            </w:pPr>
            <w:r w:rsidDel="00000000" w:rsidR="00000000" w:rsidRPr="00000000">
              <w:rPr>
                <w:rFonts w:ascii="PT Sans" w:cs="PT Sans" w:eastAsia="PT Sans" w:hAnsi="PT Sans"/>
                <w:rtl w:val="0"/>
              </w:rPr>
              <w:t xml:space="preserve">Theory to practice ratio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theoretical contact hours: 2-2/10-10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practical contact hours: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Applied teaching methods: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Lectures (presentation of theoretical background)</w:t>
            </w:r>
          </w:p>
          <w:p w:rsidR="00000000" w:rsidDel="00000000" w:rsidP="00000000" w:rsidRDefault="00000000" w:rsidRPr="00000000" w14:paraId="00000080">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Group discussions on cultural differences</w:t>
            </w:r>
          </w:p>
          <w:p w:rsidR="00000000" w:rsidDel="00000000" w:rsidP="00000000" w:rsidRDefault="00000000" w:rsidRPr="00000000" w14:paraId="00000081">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Group work and project-based learning</w:t>
            </w:r>
          </w:p>
          <w:p w:rsidR="00000000" w:rsidDel="00000000" w:rsidP="00000000" w:rsidRDefault="00000000" w:rsidRPr="00000000" w14:paraId="00000082">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Analysis of multimedia materials (films, music examples, documentaries)</w:t>
            </w:r>
          </w:p>
          <w:p w:rsidR="00000000" w:rsidDel="00000000" w:rsidP="00000000" w:rsidRDefault="00000000" w:rsidRPr="00000000" w14:paraId="00000083">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Student presentations</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Form of evaluation: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exam</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Evaluation criteria: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Class participation and active engagement</w:t>
            </w:r>
          </w:p>
          <w:p w:rsidR="00000000" w:rsidDel="00000000" w:rsidP="00000000" w:rsidRDefault="00000000" w:rsidRPr="00000000" w14:paraId="0000008A">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Presentation on a selected region or linguistic-cultural topic</w:t>
            </w:r>
          </w:p>
          <w:p w:rsidR="00000000" w:rsidDel="00000000" w:rsidP="00000000" w:rsidRDefault="00000000" w:rsidRPr="00000000" w14:paraId="0000008B">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Quality and creativity of project work</w:t>
            </w:r>
          </w:p>
        </w:tc>
      </w:tr>
      <w:tr>
        <w:trPr>
          <w:cantSplit w:val="0"/>
          <w:trHeight w:val="2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Contribution of the subject to the acquisition of competence elements as defined in the Training and Outcome Requirements</w:t>
            </w:r>
          </w:p>
          <w:p w:rsidR="00000000" w:rsidDel="00000000" w:rsidP="00000000" w:rsidRDefault="00000000" w:rsidRPr="00000000" w14:paraId="0000008E">
            <w:pPr>
              <w:tabs>
                <w:tab w:val="left" w:leader="none" w:pos="3780"/>
              </w:tabs>
              <w:rPr>
                <w:rFonts w:ascii="PT Sans" w:cs="PT Sans" w:eastAsia="PT Sans" w:hAnsi="PT Sans"/>
              </w:rPr>
            </w:pPr>
            <w:r w:rsidDel="00000000" w:rsidR="00000000" w:rsidRPr="00000000">
              <w:rPr>
                <w:rtl w:val="0"/>
              </w:rPr>
            </w:r>
          </w:p>
          <w:p w:rsidR="00000000" w:rsidDel="00000000" w:rsidP="00000000" w:rsidRDefault="00000000" w:rsidRPr="00000000" w14:paraId="0000008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Elaborate on how competence elements specified in the Training and Outcome Requirements are/may be achieved </w:t>
            </w:r>
            <w:r w:rsidDel="00000000" w:rsidR="00000000" w:rsidRPr="00000000">
              <w:rPr>
                <w:rFonts w:ascii="PT Sans" w:cs="PT Sans" w:eastAsia="PT Sans" w:hAnsi="PT Sans"/>
                <w:i w:val="1"/>
                <w:iCs w:val="1"/>
                <w:rtl w:val="0"/>
              </w:rPr>
              <w:t xml:space="preserve">(Note: do not simply copy the competence elements from the Training and Outcome Requirements)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Knowledge:</w:t>
            </w:r>
          </w:p>
          <w:p w:rsidR="00000000" w:rsidDel="00000000" w:rsidP="00000000" w:rsidRDefault="00000000" w:rsidRPr="00000000" w14:paraId="00000091">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main languages of the Iberian Peninsula and their characteristics</w:t>
            </w:r>
          </w:p>
          <w:p w:rsidR="00000000" w:rsidDel="00000000" w:rsidP="00000000" w:rsidRDefault="00000000" w:rsidRPr="00000000" w14:paraId="00000092">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system of Spain’s Autonomous Communities</w:t>
            </w:r>
          </w:p>
          <w:p w:rsidR="00000000" w:rsidDel="00000000" w:rsidP="00000000" w:rsidRDefault="00000000" w:rsidRPr="00000000" w14:paraId="00000093">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main regional cultural differences</w:t>
            </w:r>
          </w:p>
          <w:p w:rsidR="00000000" w:rsidDel="00000000" w:rsidP="00000000" w:rsidRDefault="00000000" w:rsidRPr="00000000" w14:paraId="00000094">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interrelations between language and culture</w:t>
            </w:r>
          </w:p>
          <w:p w:rsidR="00000000" w:rsidDel="00000000" w:rsidP="00000000" w:rsidRDefault="00000000" w:rsidRPr="00000000" w14:paraId="00000095">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Skills:</w:t>
            </w:r>
          </w:p>
          <w:p w:rsidR="00000000" w:rsidDel="00000000" w:rsidP="00000000" w:rsidRDefault="00000000" w:rsidRPr="00000000" w14:paraId="00000096">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compare different languages and cultural phenomena</w:t>
            </w:r>
          </w:p>
          <w:p w:rsidR="00000000" w:rsidDel="00000000" w:rsidP="00000000" w:rsidRDefault="00000000" w:rsidRPr="00000000" w14:paraId="00000097">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identify and interpret cultural differences</w:t>
            </w:r>
          </w:p>
          <w:p w:rsidR="00000000" w:rsidDel="00000000" w:rsidP="00000000" w:rsidRDefault="00000000" w:rsidRPr="00000000" w14:paraId="00000098">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recognize and present the relationship between language use and regional identity</w:t>
            </w:r>
          </w:p>
          <w:p w:rsidR="00000000" w:rsidDel="00000000" w:rsidP="00000000" w:rsidRDefault="00000000" w:rsidRPr="00000000" w14:paraId="00000099">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contextualize cultural phenomena (e.g. festivals, gastronomy, media content)</w:t>
            </w:r>
          </w:p>
          <w:p w:rsidR="00000000" w:rsidDel="00000000" w:rsidP="00000000" w:rsidRDefault="00000000" w:rsidRPr="00000000" w14:paraId="0000009A">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interpret basic language policy issues (e.g. multilingualism, linguistic rights)</w:t>
            </w:r>
          </w:p>
          <w:p w:rsidR="00000000" w:rsidDel="00000000" w:rsidP="00000000" w:rsidRDefault="00000000" w:rsidRPr="00000000" w14:paraId="0000009B">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independently process and present the linguistic and cultural characteristics of a selected Iberian region</w:t>
            </w:r>
          </w:p>
          <w:p w:rsidR="00000000" w:rsidDel="00000000" w:rsidP="00000000" w:rsidRDefault="00000000" w:rsidRPr="00000000" w14:paraId="0000009C">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Attitudes:</w:t>
            </w:r>
          </w:p>
          <w:p w:rsidR="00000000" w:rsidDel="00000000" w:rsidP="00000000" w:rsidRDefault="00000000" w:rsidRPr="00000000" w14:paraId="0000009D">
            <w:pPr>
              <w:numPr>
                <w:ilvl w:val="0"/>
                <w:numId w:val="1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Open to linguistic and cultural diversity</w:t>
            </w:r>
          </w:p>
          <w:p w:rsidR="00000000" w:rsidDel="00000000" w:rsidP="00000000" w:rsidRDefault="00000000" w:rsidRPr="00000000" w14:paraId="0000009E">
            <w:pPr>
              <w:numPr>
                <w:ilvl w:val="0"/>
                <w:numId w:val="1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Accepting of other cultures and customs</w:t>
            </w:r>
          </w:p>
          <w:p w:rsidR="00000000" w:rsidDel="00000000" w:rsidP="00000000" w:rsidRDefault="00000000" w:rsidRPr="00000000" w14:paraId="0000009F">
            <w:pPr>
              <w:numPr>
                <w:ilvl w:val="0"/>
                <w:numId w:val="1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Interested in various cultural phenomena</w:t>
            </w:r>
          </w:p>
          <w:p w:rsidR="00000000" w:rsidDel="00000000" w:rsidP="00000000" w:rsidRDefault="00000000" w:rsidRPr="00000000" w14:paraId="000000A0">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Autonomy and responsibility:</w:t>
            </w:r>
          </w:p>
          <w:p w:rsidR="00000000" w:rsidDel="00000000" w:rsidP="00000000" w:rsidRDefault="00000000" w:rsidRPr="00000000" w14:paraId="000000A1">
            <w:pPr>
              <w:numPr>
                <w:ilvl w:val="0"/>
                <w:numId w:val="1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Independently explores and analyses the linguistic and cultural characteristics of a selected Iberian region</w:t>
            </w:r>
          </w:p>
          <w:p w:rsidR="00000000" w:rsidDel="00000000" w:rsidP="00000000" w:rsidRDefault="00000000" w:rsidRPr="00000000" w14:paraId="000000A2">
            <w:pPr>
              <w:numPr>
                <w:ilvl w:val="0"/>
                <w:numId w:val="1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Takes responsibility for the academic reliability of analyses and the credibility of sources used</w:t>
            </w:r>
          </w:p>
          <w:p w:rsidR="00000000" w:rsidDel="00000000" w:rsidP="00000000" w:rsidRDefault="00000000" w:rsidRPr="00000000" w14:paraId="000000A3">
            <w:pPr>
              <w:numPr>
                <w:ilvl w:val="0"/>
                <w:numId w:val="1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Independently interprets linguistic and cultural phenomena and is able to present them in a nuanced way</w:t>
            </w:r>
          </w:p>
          <w:p w:rsidR="00000000" w:rsidDel="00000000" w:rsidP="00000000" w:rsidRDefault="00000000" w:rsidRPr="00000000" w14:paraId="000000A4">
            <w:pPr>
              <w:numPr>
                <w:ilvl w:val="0"/>
                <w:numId w:val="1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Handles cultural differences consciously and approaches sensitive identity-related issues in a responsible manner</w:t>
            </w:r>
          </w:p>
          <w:p w:rsidR="00000000" w:rsidDel="00000000" w:rsidP="00000000" w:rsidRDefault="00000000" w:rsidRPr="00000000" w14:paraId="000000A5">
            <w:pPr>
              <w:numPr>
                <w:ilvl w:val="0"/>
                <w:numId w:val="1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plan and reflect on their own learning process, with particular regard to the processing of linguistic and cultural content</w:t>
            </w:r>
          </w:p>
          <w:p w:rsidR="00000000" w:rsidDel="00000000" w:rsidP="00000000" w:rsidRDefault="00000000" w:rsidRPr="00000000" w14:paraId="000000A6">
            <w:pPr>
              <w:numPr>
                <w:ilvl w:val="0"/>
                <w:numId w:val="1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Responsibly articulates and represents their own views on linguistic and cultural issues, taking into account different regional perspectives</w:t>
            </w:r>
          </w:p>
        </w:tc>
      </w:tr>
    </w:tbl>
    <w:p w:rsidR="00000000" w:rsidDel="00000000" w:rsidP="00000000" w:rsidRDefault="00000000" w:rsidRPr="00000000" w14:paraId="000000A8">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Cmsor7">
    <w:name w:val="heading 7"/>
    <w:basedOn w:val="Norml"/>
    <w:next w:val="Norml"/>
    <w:link w:val="Cmsor7Char"/>
    <w:uiPriority w:val="9"/>
    <w:semiHidden w:val="1"/>
    <w:unhideWhenUsed w:val="1"/>
    <w:qFormat w:val="1"/>
    <w:rsid w:val="00101CE1"/>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Cmsor8">
    <w:name w:val="heading 8"/>
    <w:basedOn w:val="Norml"/>
    <w:next w:val="Norml"/>
    <w:link w:val="Cmsor8Char"/>
    <w:uiPriority w:val="9"/>
    <w:semiHidden w:val="1"/>
    <w:unhideWhenUsed w:val="1"/>
    <w:qFormat w:val="1"/>
    <w:rsid w:val="00101CE1"/>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Cmsor9">
    <w:name w:val="heading 9"/>
    <w:basedOn w:val="Norml"/>
    <w:next w:val="Norml"/>
    <w:link w:val="Cmsor9Char"/>
    <w:uiPriority w:val="9"/>
    <w:semiHidden w:val="1"/>
    <w:unhideWhenUsed w:val="1"/>
    <w:qFormat w:val="1"/>
    <w:rsid w:val="00101CE1"/>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101CE1"/>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101CE1"/>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101CE1"/>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101CE1"/>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101CE1"/>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101CE1"/>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101CE1"/>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101CE1"/>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101CE1"/>
    <w:rPr>
      <w:rFonts w:cstheme="majorBidi" w:eastAsiaTheme="majorEastAsia"/>
      <w:color w:val="272727" w:themeColor="text1" w:themeTint="0000D8"/>
    </w:rPr>
  </w:style>
  <w:style w:type="character" w:styleId="CmChar" w:customStyle="1">
    <w:name w:val="Cím Char"/>
    <w:basedOn w:val="Bekezdsalapbettpusa"/>
    <w:link w:val="Cm"/>
    <w:uiPriority w:val="10"/>
    <w:rsid w:val="00101CE1"/>
    <w:rPr>
      <w:rFonts w:asciiTheme="majorHAnsi" w:cstheme="majorBidi" w:eastAsiaTheme="majorEastAsia" w:hAnsiTheme="majorHAnsi"/>
      <w:spacing w:val="-10"/>
      <w:kern w:val="28"/>
      <w:sz w:val="56"/>
      <w:szCs w:val="56"/>
    </w:rPr>
  </w:style>
  <w:style w:type="character" w:styleId="AlcmChar" w:customStyle="1">
    <w:name w:val="Alcím Char"/>
    <w:basedOn w:val="Bekezdsalapbettpusa"/>
    <w:link w:val="Alcm"/>
    <w:uiPriority w:val="11"/>
    <w:rsid w:val="00101CE1"/>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101CE1"/>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IdzetChar" w:customStyle="1">
    <w:name w:val="Idézet Char"/>
    <w:basedOn w:val="Bekezdsalapbettpusa"/>
    <w:link w:val="Idzet"/>
    <w:uiPriority w:val="29"/>
    <w:rsid w:val="00101CE1"/>
    <w:rPr>
      <w:i w:val="1"/>
      <w:iCs w:val="1"/>
      <w:color w:val="404040" w:themeColor="text1" w:themeTint="0000BF"/>
    </w:rPr>
  </w:style>
  <w:style w:type="paragraph" w:styleId="Listaszerbekezds">
    <w:name w:val="List Paragraph"/>
    <w:basedOn w:val="Norml"/>
    <w:uiPriority w:val="34"/>
    <w:qFormat w:val="1"/>
    <w:rsid w:val="00101CE1"/>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Erskiemels">
    <w:name w:val="Intense Emphasis"/>
    <w:basedOn w:val="Bekezdsalapbettpusa"/>
    <w:uiPriority w:val="21"/>
    <w:qFormat w:val="1"/>
    <w:rsid w:val="00101CE1"/>
    <w:rPr>
      <w:i w:val="1"/>
      <w:iCs w:val="1"/>
      <w:color w:val="0f4761" w:themeColor="accent1" w:themeShade="0000BF"/>
    </w:rPr>
  </w:style>
  <w:style w:type="paragraph" w:styleId="Kiemeltidzet">
    <w:name w:val="Intense Quote"/>
    <w:basedOn w:val="Norml"/>
    <w:next w:val="Norml"/>
    <w:link w:val="KiemeltidzetChar"/>
    <w:uiPriority w:val="30"/>
    <w:qFormat w:val="1"/>
    <w:rsid w:val="00101CE1"/>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KiemeltidzetChar" w:customStyle="1">
    <w:name w:val="Kiemelt idézet Char"/>
    <w:basedOn w:val="Bekezdsalapbettpusa"/>
    <w:link w:val="Kiemeltidzet"/>
    <w:uiPriority w:val="30"/>
    <w:rsid w:val="00101CE1"/>
    <w:rPr>
      <w:i w:val="1"/>
      <w:iCs w:val="1"/>
      <w:color w:val="0f4761" w:themeColor="accent1" w:themeShade="0000BF"/>
    </w:rPr>
  </w:style>
  <w:style w:type="character" w:styleId="Ershivatkozs">
    <w:name w:val="Intense Reference"/>
    <w:basedOn w:val="Bekezdsalapbettpusa"/>
    <w:uiPriority w:val="32"/>
    <w:qFormat w:val="1"/>
    <w:rsid w:val="00101CE1"/>
    <w:rPr>
      <w:b w:val="1"/>
      <w:bCs w:val="1"/>
      <w:smallCaps w:val="1"/>
      <w:color w:val="0f4761" w:themeColor="accent1" w:themeShade="0000BF"/>
      <w:spacing w:val="5"/>
    </w:rPr>
  </w:style>
  <w:style w:type="character" w:styleId="ui-provider" w:customStyle="1">
    <w:name w:val="ui-provider"/>
    <w:basedOn w:val="Bekezdsalapbettpusa"/>
    <w:rsid w:val="00101CE1"/>
  </w:style>
  <w:style w:type="table" w:styleId="Rcsostblzat">
    <w:name w:val="Table Grid"/>
    <w:basedOn w:val="Normltblzat"/>
    <w:rsid w:val="00101CE1"/>
    <w:pPr>
      <w:spacing w:after="0" w:line="240" w:lineRule="auto"/>
    </w:pPr>
    <w:rPr>
      <w:rFonts w:ascii="Times New Roman" w:cs="Times New Roman" w:eastAsia="Times New Roman" w:hAnsi="Times New Roman"/>
      <w:kern w:val="0"/>
      <w:sz w:val="20"/>
      <w:szCs w:val="20"/>
      <w:lang w:eastAsia="hu-H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hivatkozs">
    <w:name w:val="Hyperlink"/>
    <w:basedOn w:val="Bekezdsalapbettpusa"/>
    <w:uiPriority w:val="99"/>
    <w:unhideWhenUsed w:val="1"/>
    <w:rsid w:val="00101CE1"/>
    <w:rPr>
      <w:color w:val="467886" w:themeColor="hyperlink"/>
      <w:u w:val="single"/>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riberadelduero.es/" TargetMode="External"/><Relationship Id="rId10" Type="http://schemas.openxmlformats.org/officeDocument/2006/relationships/hyperlink" Target="https://www.quesomanchego.es/" TargetMode="External"/><Relationship Id="rId13" Type="http://schemas.openxmlformats.org/officeDocument/2006/relationships/hyperlink" Target="https://www.youtube.com/watch?v=cdGac6rGHks" TargetMode="External"/><Relationship Id="rId12" Type="http://schemas.openxmlformats.org/officeDocument/2006/relationships/hyperlink" Target="https://es.scribd.com/document/685168899/Espana-Siglo-XX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osejara.es/blog/8-diferencias-entre-jamon-iberico-y-jamon-serrano/" TargetMode="External"/><Relationship Id="rId15" Type="http://schemas.openxmlformats.org/officeDocument/2006/relationships/hyperlink" Target="https://www.quesomanchego.es/" TargetMode="External"/><Relationship Id="rId14" Type="http://schemas.openxmlformats.org/officeDocument/2006/relationships/hyperlink" Target="https://josejara.es/blog/8-diferencias-entre-jamon-iberico-y-jamon-serrano/" TargetMode="External"/><Relationship Id="rId16" Type="http://schemas.openxmlformats.org/officeDocument/2006/relationships/hyperlink" Target="https://www.riberadelduero.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scribd.com/document/685168899/Espana-Siglo-XXI" TargetMode="External"/><Relationship Id="rId8" Type="http://schemas.openxmlformats.org/officeDocument/2006/relationships/hyperlink" Target="https://www.youtube.com/watch?v=cdGac6rGHk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Y72RwFDcqe4VKI+iBbz94j+LzQ==">CgMxLjA4AHIhMUkzTFh1MURhZWt4QUZhOU1RV2lBdDAwdFVCZEk3bEFk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2025-07-18T06:26:00Z</dcterms:created>
  <dc:creator>Csufor Krisztina</dc:creator>
</cp:coreProperties>
</file>