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6"/>
        <w:gridCol w:w="2835"/>
        <w:gridCol w:w="2961"/>
        <w:tblGridChange w:id="0">
          <w:tblGrid>
            <w:gridCol w:w="3266"/>
            <w:gridCol w:w="2835"/>
            <w:gridCol w:w="2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BBNRS21600 / BBLRS21600 Spanyol nyelvfejlesztés 7.</w:t>
            </w:r>
          </w:p>
          <w:p w:rsidR="00000000" w:rsidDel="00000000" w:rsidP="00000000" w:rsidRDefault="00000000" w:rsidRPr="00000000" w14:paraId="00000004">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BBNRS21700 / BBLRS21700 Spanyol nyelvfejlesztés 8.</w:t>
            </w:r>
          </w:p>
          <w:p w:rsidR="00000000" w:rsidDel="00000000" w:rsidP="00000000" w:rsidRDefault="00000000" w:rsidRPr="00000000" w14:paraId="00000005">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BBNRS21800 / BBLRS21800 Spanyol nyelvfejlesztés 9.</w:t>
            </w:r>
          </w:p>
          <w:p w:rsidR="00000000" w:rsidDel="00000000" w:rsidP="00000000" w:rsidRDefault="00000000" w:rsidRPr="00000000" w14:paraId="00000006">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BBNRS21900 / BBLRS21900 Spanyol nyelvfejlesztés 10.</w:t>
            </w:r>
          </w:p>
          <w:p w:rsidR="00000000" w:rsidDel="00000000" w:rsidP="00000000" w:rsidRDefault="00000000" w:rsidRPr="00000000" w14:paraId="00000007">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BBNRS16700 / BBLRS16700 Spanyol nyelvfejlesztés 11.</w:t>
            </w:r>
          </w:p>
          <w:p w:rsidR="00000000" w:rsidDel="00000000" w:rsidP="00000000" w:rsidRDefault="00000000" w:rsidRPr="00000000" w14:paraId="00000008">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BBNRS16800 / BBLRS16800 Spanyol nyelvfejlesztés 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Zavaleta Mejia Julio Felipe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Zavaleta Mejia Julio Felipe, Dr. Miguel García Viñolo, Carles Bartual Martín, Dr. Rózsavári Nóra, 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tantárgy célja a hallgatók felkészítése a Közös Európai Referenciakeret C1-es szintjére szókincsük fejlesztésén keresztül, a társalgási témakörök szerint haladva. A négy alapkészség megerősítését és az élő spanyol nyelvhasználat jobb elsajátítását autentikus újságcikkek, rádió- és televízióműsorok segítik.</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C1 szintű nyelvtani rendszerek magas szintű, árnyalt használata (összetett szerkezetek, modalitás, stilisztikai variációk)</w:t>
            </w:r>
          </w:p>
          <w:p w:rsidR="00000000" w:rsidDel="00000000" w:rsidP="00000000" w:rsidRDefault="00000000" w:rsidRPr="00000000" w14:paraId="00000015">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fejlett szókincs tematikus és absztrakt társalgási területeken (társadalom, politika, kultúra, média, gazdaság, aktuális kérdések)</w:t>
            </w:r>
          </w:p>
          <w:p w:rsidR="00000000" w:rsidDel="00000000" w:rsidP="00000000" w:rsidRDefault="00000000" w:rsidRPr="00000000" w14:paraId="00000016">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szövegtípusok és műfajok (újságcikkek, elemzések, interjúk, véleménycikkek) strukturális és nyelvi sajátosságai</w:t>
            </w:r>
          </w:p>
          <w:p w:rsidR="00000000" w:rsidDel="00000000" w:rsidP="00000000" w:rsidRDefault="00000000" w:rsidRPr="00000000" w14:paraId="00000017">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nyelvi regiszterek, stílusrétegek és pragmatikai eszközök tudatos használata</w:t>
            </w:r>
          </w:p>
          <w:p w:rsidR="00000000" w:rsidDel="00000000" w:rsidP="00000000" w:rsidRDefault="00000000" w:rsidRPr="00000000" w14:paraId="00000018">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diskurzusszervezés és koherencia-összefüggések magas szintű nyelvi megvalósítása</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folyékony, spontán és árnyalt szóbeli kommunikáció C1 szinten</w:t>
            </w:r>
          </w:p>
          <w:p w:rsidR="00000000" w:rsidDel="00000000" w:rsidP="00000000" w:rsidRDefault="00000000" w:rsidRPr="00000000" w14:paraId="0000001C">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komplex autentikus szövegek (újság, rádió, televízió, online média) globális és részletes értelmezése</w:t>
            </w:r>
          </w:p>
          <w:p w:rsidR="00000000" w:rsidDel="00000000" w:rsidP="00000000" w:rsidRDefault="00000000" w:rsidRPr="00000000" w14:paraId="0000001D">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érvelő, elemző és véleménykifejtő szövegek készítése</w:t>
            </w:r>
          </w:p>
          <w:p w:rsidR="00000000" w:rsidDel="00000000" w:rsidP="00000000" w:rsidRDefault="00000000" w:rsidRPr="00000000" w14:paraId="0000001E">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fejlett hallás utáni értés különböző beszédtempókban és dialektusokban</w:t>
            </w:r>
          </w:p>
          <w:p w:rsidR="00000000" w:rsidDel="00000000" w:rsidP="00000000" w:rsidRDefault="00000000" w:rsidRPr="00000000" w14:paraId="0000001F">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kritikai olvasás és információfeldolgozás különböző médiatartalmak alapján</w:t>
            </w:r>
          </w:p>
          <w:p w:rsidR="00000000" w:rsidDel="00000000" w:rsidP="00000000" w:rsidRDefault="00000000" w:rsidRPr="00000000" w14:paraId="00000020">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integrált nyelvi készségek alkalmazása valós kommunikációs helyzetekben</w:t>
            </w:r>
          </w:p>
          <w:p w:rsidR="00000000" w:rsidDel="00000000" w:rsidP="00000000" w:rsidRDefault="00000000" w:rsidRPr="00000000" w14:paraId="00000021">
            <w:pPr>
              <w:numPr>
                <w:ilvl w:val="0"/>
                <w:numId w:val="10"/>
              </w:numPr>
              <w:tabs>
                <w:tab w:val="left" w:leader="none" w:pos="3780"/>
              </w:tabs>
              <w:ind w:left="720" w:hanging="360"/>
              <w:rPr>
                <w:rFonts w:ascii="PT Sans" w:cs="PT Sans" w:eastAsia="PT Sans" w:hAnsi="PT Sans"/>
                <w:sz w:val="16"/>
                <w:szCs w:val="16"/>
              </w:rPr>
            </w:pPr>
            <w:r w:rsidDel="00000000" w:rsidR="00000000" w:rsidRPr="00000000">
              <w:rPr>
                <w:rFonts w:ascii="PT Sans" w:cs="PT Sans" w:eastAsia="PT Sans" w:hAnsi="PT Sans"/>
                <w:rtl w:val="0"/>
              </w:rPr>
              <w:t xml:space="preserve">nyelvtani struktúrák magabiztos és pontos alkalmazása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Style w:val="Heading1"/>
              <w:keepNext w:val="0"/>
              <w:keepLines w:val="0"/>
              <w:widowControl w:val="0"/>
              <w:spacing w:after="120" w:before="0" w:line="240" w:lineRule="auto"/>
              <w:ind w:right="-98"/>
              <w:rPr>
                <w:rFonts w:ascii="PT Sans" w:cs="PT Sans" w:eastAsia="PT Sans" w:hAnsi="PT Sans"/>
              </w:rPr>
            </w:pPr>
            <w:bookmarkStart w:colFirst="0" w:colLast="0" w:name="_heading=h.vjcv0za1jujv" w:id="0"/>
            <w:bookmarkEnd w:id="0"/>
            <w:r w:rsidDel="00000000" w:rsidR="00000000" w:rsidRPr="00000000">
              <w:rPr>
                <w:rFonts w:ascii="PT Sans" w:cs="PT Sans" w:eastAsia="PT Sans" w:hAnsi="PT Sans"/>
                <w:color w:val="000000"/>
                <w:sz w:val="20"/>
                <w:szCs w:val="20"/>
                <w:rtl w:val="0"/>
              </w:rPr>
              <w:t xml:space="preserve">Martínez, M. J. - Sánchez, D. - Soria, M. P. (2013</w:t>
            </w:r>
            <w:r w:rsidDel="00000000" w:rsidR="00000000" w:rsidRPr="00000000">
              <w:rPr>
                <w:rFonts w:ascii="PT Sans" w:cs="PT Sans" w:eastAsia="PT Sans" w:hAnsi="PT Sans"/>
                <w:i w:val="1"/>
                <w:iCs w:val="1"/>
                <w:color w:val="000000"/>
                <w:sz w:val="20"/>
                <w:szCs w:val="20"/>
                <w:rtl w:val="0"/>
              </w:rPr>
              <w:t xml:space="preserve">): Las claves del nuevo DELE C1 y Cdmp3. </w:t>
            </w:r>
            <w:r w:rsidDel="00000000" w:rsidR="00000000" w:rsidRPr="00000000">
              <w:rPr>
                <w:rFonts w:ascii="PT Sans" w:cs="PT Sans" w:eastAsia="PT Sans" w:hAnsi="PT Sans"/>
                <w:color w:val="000000"/>
                <w:sz w:val="20"/>
                <w:szCs w:val="20"/>
                <w:highlight w:val="white"/>
                <w:rtl w:val="0"/>
              </w:rPr>
              <w:t xml:space="preserve">Stuttgart</w:t>
            </w:r>
            <w:r w:rsidDel="00000000" w:rsidR="00000000" w:rsidRPr="00000000">
              <w:rPr>
                <w:rFonts w:ascii="PT Sans" w:cs="PT Sans" w:eastAsia="PT Sans" w:hAnsi="PT Sans"/>
                <w:color w:val="000000"/>
                <w:sz w:val="20"/>
                <w:szCs w:val="20"/>
                <w:rtl w:val="0"/>
              </w:rPr>
              <w:t xml:space="preserve">, Klett.  ISBN </w:t>
            </w:r>
            <w:r w:rsidDel="00000000" w:rsidR="00000000" w:rsidRPr="00000000">
              <w:rPr>
                <w:rFonts w:ascii="PT Sans" w:cs="PT Sans" w:eastAsia="PT Sans" w:hAnsi="PT Sans"/>
                <w:color w:val="000000"/>
                <w:sz w:val="20"/>
                <w:szCs w:val="20"/>
                <w:highlight w:val="white"/>
                <w:rtl w:val="0"/>
              </w:rPr>
              <w:t xml:space="preserve">9788484437253</w:t>
            </w:r>
            <w:r w:rsidDel="00000000" w:rsidR="00000000" w:rsidRPr="00000000">
              <w:rPr>
                <w:rtl w:val="0"/>
              </w:rPr>
            </w:r>
          </w:p>
          <w:p w:rsidR="00000000" w:rsidDel="00000000" w:rsidP="00000000" w:rsidRDefault="00000000" w:rsidRPr="00000000" w14:paraId="00000025">
            <w:pPr>
              <w:ind w:right="-98"/>
              <w:jc w:val="both"/>
              <w:rPr>
                <w:rFonts w:ascii="PT Sans" w:cs="PT Sans" w:eastAsia="PT Sans" w:hAnsi="PT Sans"/>
              </w:rPr>
            </w:pPr>
            <w:r w:rsidDel="00000000" w:rsidR="00000000" w:rsidRPr="00000000">
              <w:rPr>
                <w:rFonts w:ascii="PT Sans" w:cs="PT Sans" w:eastAsia="PT Sans" w:hAnsi="PT Sans"/>
                <w:rtl w:val="0"/>
              </w:rPr>
              <w:t xml:space="preserve">Gidró, G. (2017): </w:t>
            </w:r>
            <w:r w:rsidDel="00000000" w:rsidR="00000000" w:rsidRPr="00000000">
              <w:rPr>
                <w:rFonts w:ascii="PT Sans" w:cs="PT Sans" w:eastAsia="PT Sans" w:hAnsi="PT Sans"/>
                <w:i w:val="1"/>
                <w:iCs w:val="1"/>
                <w:rtl w:val="0"/>
              </w:rPr>
              <w:t xml:space="preserve">Palabras, palabras. Tematikus spanyol szókincsgyűjtemény</w:t>
            </w:r>
            <w:r w:rsidDel="00000000" w:rsidR="00000000" w:rsidRPr="00000000">
              <w:rPr>
                <w:rFonts w:ascii="PT Sans" w:cs="PT Sans" w:eastAsia="PT Sans" w:hAnsi="PT Sans"/>
                <w:rtl w:val="0"/>
              </w:rPr>
              <w:t xml:space="preserve">. Budapest, Nemzeti Tankönyvkiadó.</w:t>
            </w:r>
          </w:p>
          <w:p w:rsidR="00000000" w:rsidDel="00000000" w:rsidP="00000000" w:rsidRDefault="00000000" w:rsidRPr="00000000" w14:paraId="00000026">
            <w:pPr>
              <w:ind w:right="-98"/>
              <w:jc w:val="both"/>
              <w:rPr>
                <w:rFonts w:ascii="PT Sans" w:cs="PT Sans" w:eastAsia="PT Sans" w:hAnsi="PT Sans"/>
              </w:rPr>
            </w:pPr>
            <w:r w:rsidDel="00000000" w:rsidR="00000000" w:rsidRPr="00000000">
              <w:rPr>
                <w:rFonts w:ascii="PT Sans" w:cs="PT Sans" w:eastAsia="PT Sans" w:hAnsi="PT Sans"/>
                <w:rtl w:val="0"/>
              </w:rPr>
              <w:t xml:space="preserve">ISBN 9789631957273</w:t>
            </w:r>
          </w:p>
          <w:p w:rsidR="00000000" w:rsidDel="00000000" w:rsidP="00000000" w:rsidRDefault="00000000" w:rsidRPr="00000000" w14:paraId="00000027">
            <w:pPr>
              <w:ind w:right="-98"/>
              <w:jc w:val="both"/>
              <w:rPr>
                <w:rFonts w:ascii="PT Sans" w:cs="PT Sans" w:eastAsia="PT Sans" w:hAnsi="PT Sans"/>
              </w:rPr>
            </w:pPr>
            <w:r w:rsidDel="00000000" w:rsidR="00000000" w:rsidRPr="00000000">
              <w:rPr>
                <w:rFonts w:ascii="PT Sans" w:cs="PT Sans" w:eastAsia="PT Sans" w:hAnsi="PT Sans"/>
                <w:highlight w:val="white"/>
                <w:rtl w:val="0"/>
              </w:rPr>
              <w:t xml:space="preserve">Máté, Z. - Vilosa Sánchez, M. (2019): </w:t>
            </w:r>
            <w:hyperlink r:id="rId7">
              <w:r w:rsidDel="00000000" w:rsidR="00000000" w:rsidRPr="00000000">
                <w:rPr>
                  <w:rFonts w:ascii="PT Sans" w:cs="PT Sans" w:eastAsia="PT Sans" w:hAnsi="PT Sans"/>
                  <w:i w:val="1"/>
                  <w:iCs w:val="1"/>
                  <w:rtl w:val="0"/>
                </w:rPr>
                <w:t xml:space="preserve">Y tú, ¿qué dices? C1. Érvelj és vitázz spanyolul! (B2+, C1</w:t>
              </w:r>
            </w:hyperlink>
            <w:hyperlink r:id="rId8">
              <w:r w:rsidDel="00000000" w:rsidR="00000000" w:rsidRPr="00000000">
                <w:rPr>
                  <w:rFonts w:ascii="PT Sans" w:cs="PT Sans" w:eastAsia="PT Sans" w:hAnsi="PT Sans"/>
                  <w:rtl w:val="0"/>
                </w:rPr>
                <w:t xml:space="preserve">)</w:t>
              </w:r>
            </w:hyperlink>
            <w:r w:rsidDel="00000000" w:rsidR="00000000" w:rsidRPr="00000000">
              <w:rPr>
                <w:rFonts w:ascii="PT Sans" w:cs="PT Sans" w:eastAsia="PT Sans" w:hAnsi="PT Sans"/>
                <w:rtl w:val="0"/>
              </w:rPr>
              <w:t xml:space="preserve">. Budapest, Lexika Kiadó. ISBN</w:t>
            </w:r>
            <w:r w:rsidDel="00000000" w:rsidR="00000000" w:rsidRPr="00000000">
              <w:rPr>
                <w:rFonts w:ascii="PT Sans" w:cs="PT Sans" w:eastAsia="PT Sans" w:hAnsi="PT Sans"/>
                <w:shd w:fill="f5f2ed" w:val="clear"/>
                <w:rtl w:val="0"/>
              </w:rPr>
              <w:t xml:space="preserve">9786156046017</w:t>
            </w:r>
            <w:r w:rsidDel="00000000" w:rsidR="00000000" w:rsidRPr="00000000">
              <w:rPr>
                <w:rtl w:val="0"/>
              </w:rPr>
            </w:r>
          </w:p>
          <w:p w:rsidR="00000000" w:rsidDel="00000000" w:rsidP="00000000" w:rsidRDefault="00000000" w:rsidRPr="00000000" w14:paraId="00000028">
            <w:pPr>
              <w:ind w:right="-98"/>
              <w:jc w:val="both"/>
              <w:rPr>
                <w:rFonts w:ascii="PT Sans" w:cs="PT Sans" w:eastAsia="PT Sans" w:hAnsi="PT Sans"/>
              </w:rPr>
            </w:pPr>
            <w:r w:rsidDel="00000000" w:rsidR="00000000" w:rsidRPr="00000000">
              <w:rPr>
                <w:rFonts w:ascii="PT Sans" w:cs="PT Sans" w:eastAsia="PT Sans" w:hAnsi="PT Sans"/>
                <w:rtl w:val="0"/>
              </w:rPr>
              <w:t xml:space="preserve">Pérez Cino, W. (2000): </w:t>
            </w:r>
            <w:r w:rsidDel="00000000" w:rsidR="00000000" w:rsidRPr="00000000">
              <w:rPr>
                <w:rFonts w:ascii="PT Sans" w:cs="PT Sans" w:eastAsia="PT Sans" w:hAnsi="PT Sans"/>
                <w:i w:val="1"/>
                <w:iCs w:val="1"/>
                <w:rtl w:val="0"/>
              </w:rPr>
              <w:t xml:space="preserve">Manual práctico de usos y dudas del español.</w:t>
            </w:r>
            <w:r w:rsidDel="00000000" w:rsidR="00000000" w:rsidRPr="00000000">
              <w:rPr>
                <w:rFonts w:ascii="PT Sans" w:cs="PT Sans" w:eastAsia="PT Sans" w:hAnsi="PT Sans"/>
                <w:rtl w:val="0"/>
              </w:rPr>
              <w:t xml:space="preserve"> Madrid, Verbum.  ISBN 847961648</w:t>
            </w:r>
            <w:r w:rsidDel="00000000" w:rsidR="00000000" w:rsidRPr="00000000">
              <w:rPr>
                <w:rtl w:val="0"/>
              </w:rPr>
            </w:r>
          </w:p>
          <w:p w:rsidR="00000000" w:rsidDel="00000000" w:rsidP="00000000" w:rsidRDefault="00000000" w:rsidRPr="00000000" w14:paraId="00000029">
            <w:pPr>
              <w:tabs>
                <w:tab w:val="left" w:leader="none" w:pos="3780"/>
              </w:tabs>
              <w:rPr>
                <w:rFonts w:ascii="PT Sans" w:cs="PT Sans" w:eastAsia="PT Sans" w:hAnsi="PT Sans"/>
                <w:b w:val="1"/>
                <w:bCs w:val="1"/>
              </w:rPr>
            </w:pPr>
            <w:r w:rsidDel="00000000" w:rsidR="00000000" w:rsidRPr="00000000">
              <w:rPr>
                <w:rFonts w:ascii="PT Sans" w:cs="PT Sans" w:eastAsia="PT Sans" w:hAnsi="PT Sans"/>
                <w:rtl w:val="0"/>
              </w:rPr>
              <w:t xml:space="preserve">Spanyol nyelvű folyóirat- és újságcikkek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right="-98"/>
              <w:jc w:val="both"/>
              <w:rPr>
                <w:rFonts w:ascii="PT Sans" w:cs="PT Sans" w:eastAsia="PT Sans" w:hAnsi="PT Sans"/>
              </w:rPr>
            </w:pPr>
            <w:r w:rsidDel="00000000" w:rsidR="00000000" w:rsidRPr="00000000">
              <w:rPr>
                <w:rFonts w:ascii="PT Sans" w:cs="PT Sans" w:eastAsia="PT Sans" w:hAnsi="PT Sans"/>
                <w:rtl w:val="0"/>
              </w:rPr>
              <w:t xml:space="preserve">Gelabert, M. J. ed. (1996): </w:t>
            </w:r>
            <w:r w:rsidDel="00000000" w:rsidR="00000000" w:rsidRPr="00000000">
              <w:rPr>
                <w:rFonts w:ascii="PT Sans" w:cs="PT Sans" w:eastAsia="PT Sans" w:hAnsi="PT Sans"/>
                <w:i w:val="1"/>
                <w:iCs w:val="1"/>
                <w:rtl w:val="0"/>
              </w:rPr>
              <w:t xml:space="preserve">Repertorio de funciones comunicativas del español.</w:t>
            </w:r>
            <w:r w:rsidDel="00000000" w:rsidR="00000000" w:rsidRPr="00000000">
              <w:rPr>
                <w:rFonts w:ascii="PT Sans" w:cs="PT Sans" w:eastAsia="PT Sans" w:hAnsi="PT Sans"/>
                <w:rtl w:val="0"/>
              </w:rPr>
              <w:t xml:space="preserve"> Madrid, SGEL.  ISBN 8471435756</w:t>
            </w:r>
          </w:p>
          <w:p w:rsidR="00000000" w:rsidDel="00000000" w:rsidP="00000000" w:rsidRDefault="00000000" w:rsidRPr="00000000" w14:paraId="0000002D">
            <w:pPr>
              <w:ind w:right="-98"/>
              <w:rPr>
                <w:rFonts w:ascii="PT Sans" w:cs="PT Sans" w:eastAsia="PT Sans" w:hAnsi="PT Sans"/>
              </w:rPr>
            </w:pPr>
            <w:r w:rsidDel="00000000" w:rsidR="00000000" w:rsidRPr="00000000">
              <w:rPr>
                <w:rFonts w:ascii="PT Sans" w:cs="PT Sans" w:eastAsia="PT Sans" w:hAnsi="PT Sans"/>
                <w:rtl w:val="0"/>
              </w:rPr>
              <w:t xml:space="preserve">Diccionario de la lengua espanola, </w:t>
            </w:r>
            <w:hyperlink r:id="rId9">
              <w:r w:rsidDel="00000000" w:rsidR="00000000" w:rsidRPr="00000000">
                <w:rPr>
                  <w:rFonts w:ascii="PT Sans" w:cs="PT Sans" w:eastAsia="PT Sans" w:hAnsi="PT Sans"/>
                  <w:color w:val="467886"/>
                  <w:u w:val="single"/>
                  <w:rtl w:val="0"/>
                </w:rPr>
                <w:t xml:space="preserve">http://dle.rae.es/?w=diccionario</w:t>
              </w:r>
            </w:hyperlink>
            <w:r w:rsidDel="00000000" w:rsidR="00000000" w:rsidRPr="00000000">
              <w:rPr>
                <w:rtl w:val="0"/>
              </w:rPr>
            </w:r>
          </w:p>
          <w:p w:rsidR="00000000" w:rsidDel="00000000" w:rsidP="00000000" w:rsidRDefault="00000000" w:rsidRPr="00000000" w14:paraId="0000002E">
            <w:pPr>
              <w:ind w:right="-98"/>
              <w:rPr>
                <w:rFonts w:ascii="PT Sans" w:cs="PT Sans" w:eastAsia="PT Sans" w:hAnsi="PT Sans"/>
              </w:rPr>
            </w:pPr>
            <w:r w:rsidDel="00000000" w:rsidR="00000000" w:rsidRPr="00000000">
              <w:rPr>
                <w:rFonts w:ascii="PT Sans" w:cs="PT Sans" w:eastAsia="PT Sans" w:hAnsi="PT Sans"/>
                <w:rtl w:val="0"/>
              </w:rPr>
              <w:t xml:space="preserve">Diccionario espanol de definiciones, </w:t>
            </w:r>
            <w:hyperlink r:id="rId10">
              <w:r w:rsidDel="00000000" w:rsidR="00000000" w:rsidRPr="00000000">
                <w:rPr>
                  <w:rFonts w:ascii="PT Sans" w:cs="PT Sans" w:eastAsia="PT Sans" w:hAnsi="PT Sans"/>
                  <w:color w:val="467886"/>
                  <w:u w:val="single"/>
                  <w:rtl w:val="0"/>
                </w:rPr>
                <w:t xml:space="preserve">http://www.wordreference.com/definicion/</w:t>
              </w:r>
            </w:hyperlink>
            <w:r w:rsidDel="00000000" w:rsidR="00000000" w:rsidRPr="00000000">
              <w:rPr>
                <w:rtl w:val="0"/>
              </w:rPr>
            </w:r>
          </w:p>
          <w:p w:rsidR="00000000" w:rsidDel="00000000" w:rsidP="00000000" w:rsidRDefault="00000000" w:rsidRPr="00000000" w14:paraId="0000002F">
            <w:pPr>
              <w:ind w:right="-98"/>
              <w:rPr>
                <w:rFonts w:ascii="PT Sans" w:cs="PT Sans" w:eastAsia="PT Sans" w:hAnsi="PT Sans"/>
                <w:b w:val="1"/>
                <w:bCs w:val="1"/>
              </w:rPr>
            </w:pPr>
            <w:r w:rsidDel="00000000" w:rsidR="00000000" w:rsidRPr="00000000">
              <w:rPr>
                <w:rFonts w:ascii="PT Sans" w:cs="PT Sans" w:eastAsia="PT Sans" w:hAnsi="PT Sans"/>
                <w:rtl w:val="0"/>
              </w:rPr>
              <w:t xml:space="preserve">Diccionario de sinónimos y antónimos, </w:t>
            </w:r>
            <w:hyperlink r:id="rId11">
              <w:r w:rsidDel="00000000" w:rsidR="00000000" w:rsidRPr="00000000">
                <w:rPr>
                  <w:rFonts w:ascii="PT Sans" w:cs="PT Sans" w:eastAsia="PT Sans" w:hAnsi="PT Sans"/>
                  <w:color w:val="467886"/>
                  <w:u w:val="single"/>
                  <w:rtl w:val="0"/>
                </w:rPr>
                <w:t xml:space="preserve">http://www.wordreference.com/sinonimos/</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2-2-2-2-2-2/10-10-10-10-10-10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kommunikatív nyelvoktatási módszer</w:t>
            </w:r>
          </w:p>
          <w:p w:rsidR="00000000" w:rsidDel="00000000" w:rsidP="00000000" w:rsidRDefault="00000000" w:rsidRPr="00000000" w14:paraId="00000036">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pár- és csoportmunka</w:t>
            </w:r>
          </w:p>
          <w:p w:rsidR="00000000" w:rsidDel="00000000" w:rsidP="00000000" w:rsidRDefault="00000000" w:rsidRPr="00000000" w14:paraId="00000037">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szituációs gyakorlatok és szerepjátékok</w:t>
            </w:r>
          </w:p>
          <w:p w:rsidR="00000000" w:rsidDel="00000000" w:rsidP="00000000" w:rsidRDefault="00000000" w:rsidRPr="00000000" w14:paraId="00000038">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autentikus anyagok feldolgozása (újságcikkek, rádió- és TV-részletek)</w:t>
            </w:r>
          </w:p>
          <w:p w:rsidR="00000000" w:rsidDel="00000000" w:rsidP="00000000" w:rsidRDefault="00000000" w:rsidRPr="00000000" w14:paraId="00000039">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projektalapú feladatok</w:t>
            </w:r>
          </w:p>
          <w:p w:rsidR="00000000" w:rsidDel="00000000" w:rsidP="00000000" w:rsidRDefault="00000000" w:rsidRPr="00000000" w14:paraId="0000003A">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interaktív beszédgyakorlatok és viták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jegy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aktív részvétel az órákon és kommunikációs feladatokban</w:t>
            </w:r>
          </w:p>
          <w:p w:rsidR="00000000" w:rsidDel="00000000" w:rsidP="00000000" w:rsidRDefault="00000000" w:rsidRPr="00000000" w14:paraId="00000041">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szóbeli teljesítmény (folyékonyság, helyesség, szókincs használata)</w:t>
            </w:r>
          </w:p>
          <w:p w:rsidR="00000000" w:rsidDel="00000000" w:rsidP="00000000" w:rsidRDefault="00000000" w:rsidRPr="00000000" w14:paraId="00000042">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írásbeli feladatok (esszék, összefoglalók, véleménykifejtés)</w:t>
            </w:r>
          </w:p>
          <w:p w:rsidR="00000000" w:rsidDel="00000000" w:rsidP="00000000" w:rsidRDefault="00000000" w:rsidRPr="00000000" w14:paraId="00000043">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hallás- és olvasásértési feladatok eredményessége</w:t>
            </w:r>
          </w:p>
          <w:p w:rsidR="00000000" w:rsidDel="00000000" w:rsidP="00000000" w:rsidRDefault="00000000" w:rsidRPr="00000000" w14:paraId="00000044">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zárthelyi dolgozatok eredménye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48">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C1 szintű spanyol nyelvtani rendszerek komplex szerkezeteit és azok árnyalt használati lehetőségeit</w:t>
            </w:r>
          </w:p>
          <w:p w:rsidR="00000000" w:rsidDel="00000000" w:rsidP="00000000" w:rsidRDefault="00000000" w:rsidRPr="00000000" w14:paraId="00000049">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tudja a magas szintű, absztrakt és szakmai témákhoz kapcsolódó szókincset és kifejezéskészletet</w:t>
            </w:r>
          </w:p>
          <w:p w:rsidR="00000000" w:rsidDel="00000000" w:rsidP="00000000" w:rsidRDefault="00000000" w:rsidRPr="00000000" w14:paraId="0000004A">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az autentikus média- és szövegtípusok (elemző cikkek, véleményírások, interjúk) nyelvi és stilisztikai sajátosságait</w:t>
            </w:r>
          </w:p>
          <w:p w:rsidR="00000000" w:rsidDel="00000000" w:rsidP="00000000" w:rsidRDefault="00000000" w:rsidRPr="00000000" w14:paraId="0000004B">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tisztában van a különböző nyelvi regiszterek, diskurzusszervezési elvek és kommunikációs stratégiák működésével</w:t>
            </w:r>
          </w:p>
          <w:p w:rsidR="00000000" w:rsidDel="00000000" w:rsidP="00000000" w:rsidRDefault="00000000" w:rsidRPr="00000000" w14:paraId="0000004C">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D">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folyékony, árnyalt és pontos kommunikációra spanyol nyelven C1 szinten</w:t>
            </w:r>
          </w:p>
          <w:p w:rsidR="00000000" w:rsidDel="00000000" w:rsidP="00000000" w:rsidRDefault="00000000" w:rsidRPr="00000000" w14:paraId="0000004E">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komplex, autentikus szövegek kritikai megértésére és értelmezésére</w:t>
            </w:r>
          </w:p>
          <w:p w:rsidR="00000000" w:rsidDel="00000000" w:rsidP="00000000" w:rsidRDefault="00000000" w:rsidRPr="00000000" w14:paraId="0000004F">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logikusan felépített, érvelő és elemző szövegek létrehozására</w:t>
            </w:r>
          </w:p>
          <w:p w:rsidR="00000000" w:rsidDel="00000000" w:rsidP="00000000" w:rsidRDefault="00000000" w:rsidRPr="00000000" w14:paraId="00000050">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különböző nyelvi készségek integrált, rugalmas alkalmazására valós kommunikációs helyzetekben</w:t>
            </w:r>
          </w:p>
          <w:p w:rsidR="00000000" w:rsidDel="00000000" w:rsidP="00000000" w:rsidRDefault="00000000" w:rsidRPr="00000000" w14:paraId="00000051">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önállóan feldolgozni, értékelni és szintetizálni idegen nyelvű információkat</w:t>
            </w:r>
          </w:p>
          <w:p w:rsidR="00000000" w:rsidDel="00000000" w:rsidP="00000000" w:rsidRDefault="00000000" w:rsidRPr="00000000" w14:paraId="00000052">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53">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a spanyol nyelv árnyalt, természetes és hiteles használatára</w:t>
            </w:r>
          </w:p>
          <w:p w:rsidR="00000000" w:rsidDel="00000000" w:rsidP="00000000" w:rsidRDefault="00000000" w:rsidRPr="00000000" w14:paraId="00000054">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motivált a magas szintű nyelvi kompetencia folyamatos fejlesztésében</w:t>
            </w:r>
          </w:p>
          <w:p w:rsidR="00000000" w:rsidDel="00000000" w:rsidP="00000000" w:rsidRDefault="00000000" w:rsidRPr="00000000" w14:paraId="00000055">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fogékony a kulturális és nyelvi sokszínűség iránt</w:t>
            </w:r>
          </w:p>
          <w:p w:rsidR="00000000" w:rsidDel="00000000" w:rsidP="00000000" w:rsidRDefault="00000000" w:rsidRPr="00000000" w14:paraId="00000056">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együttműködő komplex kommunikációs és csoportos feladatok során</w:t>
            </w:r>
          </w:p>
          <w:p w:rsidR="00000000" w:rsidDel="00000000" w:rsidP="00000000" w:rsidRDefault="00000000" w:rsidRPr="00000000" w14:paraId="00000057">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elkötelezett a pontos, igényes és tudatos nyelvhasználat mellett</w:t>
            </w:r>
          </w:p>
          <w:p w:rsidR="00000000" w:rsidDel="00000000" w:rsidP="00000000" w:rsidRDefault="00000000" w:rsidRPr="00000000" w14:paraId="00000058">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59">
            <w:pPr>
              <w:numPr>
                <w:ilvl w:val="0"/>
                <w:numId w:val="1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képes magas szintű nyelvi feladatok megoldására és komplex szövegek értelmezésére</w:t>
            </w:r>
          </w:p>
          <w:p w:rsidR="00000000" w:rsidDel="00000000" w:rsidP="00000000" w:rsidRDefault="00000000" w:rsidRPr="00000000" w14:paraId="0000005A">
            <w:pPr>
              <w:numPr>
                <w:ilvl w:val="0"/>
                <w:numId w:val="1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felelősséget vállal saját tanulási folyamatáért és szakmai nyelvi fejlődéséért</w:t>
            </w:r>
          </w:p>
          <w:p w:rsidR="00000000" w:rsidDel="00000000" w:rsidP="00000000" w:rsidRDefault="00000000" w:rsidRPr="00000000" w14:paraId="0000005B">
            <w:pPr>
              <w:numPr>
                <w:ilvl w:val="0"/>
                <w:numId w:val="1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önreflexióra, saját nyelvi teljesítményének kritikus értékelésére és fejlesztésére</w:t>
            </w:r>
          </w:p>
          <w:p w:rsidR="00000000" w:rsidDel="00000000" w:rsidP="00000000" w:rsidRDefault="00000000" w:rsidRPr="00000000" w14:paraId="0000005C">
            <w:pPr>
              <w:numPr>
                <w:ilvl w:val="0"/>
                <w:numId w:val="1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és tudatosan használ hiteles idegen nyelvi forrásokat (média, szakmai anyagok, online platformok)</w:t>
            </w:r>
          </w:p>
          <w:p w:rsidR="00000000" w:rsidDel="00000000" w:rsidP="00000000" w:rsidRDefault="00000000" w:rsidRPr="00000000" w14:paraId="0000005D">
            <w:pPr>
              <w:numPr>
                <w:ilvl w:val="0"/>
                <w:numId w:val="1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 és együttműködésen alapuló kommunikációs helyzetekben is magabiztosan helytállni</w:t>
            </w:r>
          </w:p>
        </w:tc>
      </w:tr>
    </w:tbl>
    <w:p w:rsidR="00000000" w:rsidDel="00000000" w:rsidP="00000000" w:rsidRDefault="00000000" w:rsidRPr="00000000" w14:paraId="0000005F">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BBNRS21600 / BBLRS21600 Language development 7.</w:t>
            </w:r>
          </w:p>
          <w:p w:rsidR="00000000" w:rsidDel="00000000" w:rsidP="00000000" w:rsidRDefault="00000000" w:rsidRPr="00000000" w14:paraId="00000062">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BBNRS21700 / BBLRS21700 Language development 8.</w:t>
            </w:r>
          </w:p>
          <w:p w:rsidR="00000000" w:rsidDel="00000000" w:rsidP="00000000" w:rsidRDefault="00000000" w:rsidRPr="00000000" w14:paraId="00000063">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BBNRS21800 / BBLRS21800 Language development 9.</w:t>
            </w:r>
          </w:p>
          <w:p w:rsidR="00000000" w:rsidDel="00000000" w:rsidP="00000000" w:rsidRDefault="00000000" w:rsidRPr="00000000" w14:paraId="00000064">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BBNRS21900 / BBLRS21900 Language development 10.</w:t>
            </w:r>
          </w:p>
          <w:p w:rsidR="00000000" w:rsidDel="00000000" w:rsidP="00000000" w:rsidRDefault="00000000" w:rsidRPr="00000000" w14:paraId="00000065">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BBNRS16700 / BBLRS16700 Language development 11.</w:t>
            </w:r>
          </w:p>
          <w:p w:rsidR="00000000" w:rsidDel="00000000" w:rsidP="00000000" w:rsidRDefault="00000000" w:rsidRPr="00000000" w14:paraId="00000066">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BBNRS16800 / BBLRS16800 Language development 12.</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tabs>
                <w:tab w:val="left" w:leader="none" w:pos="3780"/>
              </w:tabs>
              <w:rPr>
                <w:rFonts w:ascii="PT Sans" w:cs="PT Sans" w:eastAsia="PT Sans" w:hAnsi="PT Sans"/>
              </w:rPr>
            </w:pPr>
            <w:r w:rsidDel="00000000" w:rsidR="00000000" w:rsidRPr="00000000">
              <w:rPr>
                <w:rFonts w:ascii="PT Sans" w:cs="PT Sans" w:eastAsia="PT Sans" w:hAnsi="PT Sans"/>
                <w:b w:val="1"/>
                <w:bCs w:val="1"/>
                <w:rtl w:val="0"/>
              </w:rPr>
              <w:t xml:space="preserve">Dr. Zavaleta Mejia Julio Felipe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Zavaleta Mejia Julio Felipe, Dr. Miguel García Viñolo, Carles Bartual Martín, Dr. Rózsavári Nóra, 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The aim of the course is to prepare students for the C1 level of the Common European Framework of Reference by developing their vocabulary through a progression of conversational topics. The strengthening of the four core language skills and the improved acquisition of authentic Spanish language use are supported by authentic newspaper articles as well as radio and television programmes.</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Advanced, nuanced use of C1-level grammatical systems (complex structures, modality, stylistic variation)</w:t>
            </w:r>
          </w:p>
          <w:p w:rsidR="00000000" w:rsidDel="00000000" w:rsidP="00000000" w:rsidRDefault="00000000" w:rsidRPr="00000000" w14:paraId="00000073">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Expanded vocabulary in thematic and abstract domains (society, politics, culture, media, economy, current issues)</w:t>
            </w:r>
          </w:p>
          <w:p w:rsidR="00000000" w:rsidDel="00000000" w:rsidP="00000000" w:rsidRDefault="00000000" w:rsidRPr="00000000" w14:paraId="00000074">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Structural and linguistic characteristics of text types and genres (newspaper articles, analyses, interviews, opinion pieces)</w:t>
            </w:r>
          </w:p>
          <w:p w:rsidR="00000000" w:rsidDel="00000000" w:rsidP="00000000" w:rsidRDefault="00000000" w:rsidRPr="00000000" w14:paraId="00000075">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Conscious use of language registers, stylistic layers, and pragmatic devices</w:t>
            </w:r>
          </w:p>
          <w:p w:rsidR="00000000" w:rsidDel="00000000" w:rsidP="00000000" w:rsidRDefault="00000000" w:rsidRPr="00000000" w14:paraId="00000076">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Advanced realization of discourse organization and coherence relations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Fluent, spontaneous, and nuanced oral communication at C1 level</w:t>
            </w:r>
          </w:p>
          <w:p w:rsidR="00000000" w:rsidDel="00000000" w:rsidP="00000000" w:rsidRDefault="00000000" w:rsidRPr="00000000" w14:paraId="0000007A">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Global and detailed comprehension of complex authentic texts (newspapers, radio, television, online media)</w:t>
            </w:r>
          </w:p>
          <w:p w:rsidR="00000000" w:rsidDel="00000000" w:rsidP="00000000" w:rsidRDefault="00000000" w:rsidRPr="00000000" w14:paraId="0000007B">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Production of argumentative, analytical, and opinion-based texts</w:t>
            </w:r>
          </w:p>
          <w:p w:rsidR="00000000" w:rsidDel="00000000" w:rsidP="00000000" w:rsidRDefault="00000000" w:rsidRPr="00000000" w14:paraId="0000007C">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Advanced listening comprehension across different speech rates and dialects</w:t>
            </w:r>
          </w:p>
          <w:p w:rsidR="00000000" w:rsidDel="00000000" w:rsidP="00000000" w:rsidRDefault="00000000" w:rsidRPr="00000000" w14:paraId="0000007D">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Critical reading and information processing based on various media content</w:t>
            </w:r>
          </w:p>
          <w:p w:rsidR="00000000" w:rsidDel="00000000" w:rsidP="00000000" w:rsidRDefault="00000000" w:rsidRPr="00000000" w14:paraId="0000007E">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Integrated use of language skills in real communicative situations</w:t>
            </w:r>
          </w:p>
          <w:p w:rsidR="00000000" w:rsidDel="00000000" w:rsidP="00000000" w:rsidRDefault="00000000" w:rsidRPr="00000000" w14:paraId="0000007F">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Confident and accurate use of grammatical structures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pStyle w:val="Heading1"/>
              <w:keepNext w:val="0"/>
              <w:keepLines w:val="0"/>
              <w:widowControl w:val="0"/>
              <w:spacing w:after="120" w:before="0" w:line="240" w:lineRule="auto"/>
              <w:ind w:right="-98"/>
              <w:rPr>
                <w:rFonts w:ascii="PT Sans" w:cs="PT Sans" w:eastAsia="PT Sans" w:hAnsi="PT Sans"/>
              </w:rPr>
            </w:pPr>
            <w:bookmarkStart w:colFirst="0" w:colLast="0" w:name="_heading=h.q72i2nu0koys" w:id="1"/>
            <w:bookmarkEnd w:id="1"/>
            <w:r w:rsidDel="00000000" w:rsidR="00000000" w:rsidRPr="00000000">
              <w:rPr>
                <w:rFonts w:ascii="PT Sans" w:cs="PT Sans" w:eastAsia="PT Sans" w:hAnsi="PT Sans"/>
                <w:color w:val="000000"/>
                <w:sz w:val="20"/>
                <w:szCs w:val="20"/>
                <w:rtl w:val="0"/>
              </w:rPr>
              <w:t xml:space="preserve">Martínez, M. J. - Sánchez, D. - Soria, M. P. (2013</w:t>
            </w:r>
            <w:r w:rsidDel="00000000" w:rsidR="00000000" w:rsidRPr="00000000">
              <w:rPr>
                <w:rFonts w:ascii="PT Sans" w:cs="PT Sans" w:eastAsia="PT Sans" w:hAnsi="PT Sans"/>
                <w:i w:val="1"/>
                <w:iCs w:val="1"/>
                <w:color w:val="000000"/>
                <w:sz w:val="20"/>
                <w:szCs w:val="20"/>
                <w:rtl w:val="0"/>
              </w:rPr>
              <w:t xml:space="preserve">): Las claves del nuevo DELE C1 y Cdmp3. </w:t>
            </w:r>
            <w:r w:rsidDel="00000000" w:rsidR="00000000" w:rsidRPr="00000000">
              <w:rPr>
                <w:rFonts w:ascii="PT Sans" w:cs="PT Sans" w:eastAsia="PT Sans" w:hAnsi="PT Sans"/>
                <w:color w:val="000000"/>
                <w:sz w:val="20"/>
                <w:szCs w:val="20"/>
                <w:highlight w:val="white"/>
                <w:rtl w:val="0"/>
              </w:rPr>
              <w:t xml:space="preserve">Stuttgart</w:t>
            </w:r>
            <w:r w:rsidDel="00000000" w:rsidR="00000000" w:rsidRPr="00000000">
              <w:rPr>
                <w:rFonts w:ascii="PT Sans" w:cs="PT Sans" w:eastAsia="PT Sans" w:hAnsi="PT Sans"/>
                <w:color w:val="000000"/>
                <w:sz w:val="20"/>
                <w:szCs w:val="20"/>
                <w:rtl w:val="0"/>
              </w:rPr>
              <w:t xml:space="preserve">, Klett.  ISBN </w:t>
            </w:r>
            <w:r w:rsidDel="00000000" w:rsidR="00000000" w:rsidRPr="00000000">
              <w:rPr>
                <w:rFonts w:ascii="PT Sans" w:cs="PT Sans" w:eastAsia="PT Sans" w:hAnsi="PT Sans"/>
                <w:color w:val="000000"/>
                <w:sz w:val="20"/>
                <w:szCs w:val="20"/>
                <w:highlight w:val="white"/>
                <w:rtl w:val="0"/>
              </w:rPr>
              <w:t xml:space="preserve">9788484437253</w:t>
            </w:r>
            <w:r w:rsidDel="00000000" w:rsidR="00000000" w:rsidRPr="00000000">
              <w:rPr>
                <w:rtl w:val="0"/>
              </w:rPr>
            </w:r>
          </w:p>
          <w:p w:rsidR="00000000" w:rsidDel="00000000" w:rsidP="00000000" w:rsidRDefault="00000000" w:rsidRPr="00000000" w14:paraId="00000083">
            <w:pPr>
              <w:ind w:right="-98"/>
              <w:jc w:val="both"/>
              <w:rPr>
                <w:rFonts w:ascii="PT Sans" w:cs="PT Sans" w:eastAsia="PT Sans" w:hAnsi="PT Sans"/>
              </w:rPr>
            </w:pPr>
            <w:r w:rsidDel="00000000" w:rsidR="00000000" w:rsidRPr="00000000">
              <w:rPr>
                <w:rFonts w:ascii="PT Sans" w:cs="PT Sans" w:eastAsia="PT Sans" w:hAnsi="PT Sans"/>
                <w:rtl w:val="0"/>
              </w:rPr>
              <w:t xml:space="preserve">Gidró, G. (2017): </w:t>
            </w:r>
            <w:r w:rsidDel="00000000" w:rsidR="00000000" w:rsidRPr="00000000">
              <w:rPr>
                <w:rFonts w:ascii="PT Sans" w:cs="PT Sans" w:eastAsia="PT Sans" w:hAnsi="PT Sans"/>
                <w:i w:val="1"/>
                <w:iCs w:val="1"/>
                <w:rtl w:val="0"/>
              </w:rPr>
              <w:t xml:space="preserve">Palabras, palabras. Tematikus spanyol szókincsgyűjtemény</w:t>
            </w:r>
            <w:r w:rsidDel="00000000" w:rsidR="00000000" w:rsidRPr="00000000">
              <w:rPr>
                <w:rFonts w:ascii="PT Sans" w:cs="PT Sans" w:eastAsia="PT Sans" w:hAnsi="PT Sans"/>
                <w:rtl w:val="0"/>
              </w:rPr>
              <w:t xml:space="preserve">. Budapest, Nemzeti Tankönyvkiadó.</w:t>
            </w:r>
          </w:p>
          <w:p w:rsidR="00000000" w:rsidDel="00000000" w:rsidP="00000000" w:rsidRDefault="00000000" w:rsidRPr="00000000" w14:paraId="00000084">
            <w:pPr>
              <w:ind w:right="-98"/>
              <w:jc w:val="both"/>
              <w:rPr>
                <w:rFonts w:ascii="PT Sans" w:cs="PT Sans" w:eastAsia="PT Sans" w:hAnsi="PT Sans"/>
              </w:rPr>
            </w:pPr>
            <w:r w:rsidDel="00000000" w:rsidR="00000000" w:rsidRPr="00000000">
              <w:rPr>
                <w:rFonts w:ascii="PT Sans" w:cs="PT Sans" w:eastAsia="PT Sans" w:hAnsi="PT Sans"/>
                <w:rtl w:val="0"/>
              </w:rPr>
              <w:t xml:space="preserve">ISBN 9789631957273</w:t>
            </w:r>
          </w:p>
          <w:p w:rsidR="00000000" w:rsidDel="00000000" w:rsidP="00000000" w:rsidRDefault="00000000" w:rsidRPr="00000000" w14:paraId="00000085">
            <w:pPr>
              <w:ind w:right="-98"/>
              <w:jc w:val="both"/>
              <w:rPr>
                <w:rFonts w:ascii="PT Sans" w:cs="PT Sans" w:eastAsia="PT Sans" w:hAnsi="PT Sans"/>
              </w:rPr>
            </w:pPr>
            <w:r w:rsidDel="00000000" w:rsidR="00000000" w:rsidRPr="00000000">
              <w:rPr>
                <w:rFonts w:ascii="PT Sans" w:cs="PT Sans" w:eastAsia="PT Sans" w:hAnsi="PT Sans"/>
                <w:highlight w:val="white"/>
                <w:rtl w:val="0"/>
              </w:rPr>
              <w:t xml:space="preserve">Máté, Z. - Vilosa Sánchez, M. (2019): </w:t>
            </w:r>
            <w:hyperlink r:id="rId12">
              <w:r w:rsidDel="00000000" w:rsidR="00000000" w:rsidRPr="00000000">
                <w:rPr>
                  <w:rFonts w:ascii="PT Sans" w:cs="PT Sans" w:eastAsia="PT Sans" w:hAnsi="PT Sans"/>
                  <w:i w:val="1"/>
                  <w:iCs w:val="1"/>
                  <w:rtl w:val="0"/>
                </w:rPr>
                <w:t xml:space="preserve">Y tú, ¿qué dices? C1. Érvelj és vitázz spanyolul! (B2+, C1</w:t>
              </w:r>
            </w:hyperlink>
            <w:hyperlink r:id="rId13">
              <w:r w:rsidDel="00000000" w:rsidR="00000000" w:rsidRPr="00000000">
                <w:rPr>
                  <w:rFonts w:ascii="PT Sans" w:cs="PT Sans" w:eastAsia="PT Sans" w:hAnsi="PT Sans"/>
                  <w:rtl w:val="0"/>
                </w:rPr>
                <w:t xml:space="preserve">)</w:t>
              </w:r>
            </w:hyperlink>
            <w:r w:rsidDel="00000000" w:rsidR="00000000" w:rsidRPr="00000000">
              <w:rPr>
                <w:rFonts w:ascii="PT Sans" w:cs="PT Sans" w:eastAsia="PT Sans" w:hAnsi="PT Sans"/>
                <w:rtl w:val="0"/>
              </w:rPr>
              <w:t xml:space="preserve">.</w:t>
            </w:r>
            <w:r w:rsidDel="00000000" w:rsidR="00000000" w:rsidRPr="00000000">
              <w:rPr>
                <w:rFonts w:ascii="PT Sans" w:cs="PT Sans" w:eastAsia="PT Sans" w:hAnsi="PT Sans"/>
                <w:rtl w:val="0"/>
              </w:rPr>
              <w:t xml:space="preserve"> Budapest, Lexika Kiadó. ISBN</w:t>
            </w:r>
            <w:r w:rsidDel="00000000" w:rsidR="00000000" w:rsidRPr="00000000">
              <w:rPr>
                <w:rFonts w:ascii="PT Sans" w:cs="PT Sans" w:eastAsia="PT Sans" w:hAnsi="PT Sans"/>
                <w:shd w:fill="f5f2ed" w:val="clear"/>
                <w:rtl w:val="0"/>
              </w:rPr>
              <w:t xml:space="preserve">9786156046017</w:t>
            </w:r>
            <w:r w:rsidDel="00000000" w:rsidR="00000000" w:rsidRPr="00000000">
              <w:rPr>
                <w:rtl w:val="0"/>
              </w:rPr>
            </w:r>
          </w:p>
          <w:p w:rsidR="00000000" w:rsidDel="00000000" w:rsidP="00000000" w:rsidRDefault="00000000" w:rsidRPr="00000000" w14:paraId="00000086">
            <w:pPr>
              <w:ind w:right="-98"/>
              <w:jc w:val="both"/>
              <w:rPr>
                <w:rFonts w:ascii="PT Sans" w:cs="PT Sans" w:eastAsia="PT Sans" w:hAnsi="PT Sans"/>
              </w:rPr>
            </w:pPr>
            <w:r w:rsidDel="00000000" w:rsidR="00000000" w:rsidRPr="00000000">
              <w:rPr>
                <w:rFonts w:ascii="PT Sans" w:cs="PT Sans" w:eastAsia="PT Sans" w:hAnsi="PT Sans"/>
                <w:rtl w:val="0"/>
              </w:rPr>
              <w:t xml:space="preserve">Pérez Cino, W. (2000): </w:t>
            </w:r>
            <w:r w:rsidDel="00000000" w:rsidR="00000000" w:rsidRPr="00000000">
              <w:rPr>
                <w:rFonts w:ascii="PT Sans" w:cs="PT Sans" w:eastAsia="PT Sans" w:hAnsi="PT Sans"/>
                <w:i w:val="1"/>
                <w:iCs w:val="1"/>
                <w:rtl w:val="0"/>
              </w:rPr>
              <w:t xml:space="preserve">Manual práctico de usos y dudas del español.</w:t>
            </w:r>
            <w:r w:rsidDel="00000000" w:rsidR="00000000" w:rsidRPr="00000000">
              <w:rPr>
                <w:rFonts w:ascii="PT Sans" w:cs="PT Sans" w:eastAsia="PT Sans" w:hAnsi="PT Sans"/>
                <w:rtl w:val="0"/>
              </w:rPr>
              <w:t xml:space="preserve"> Madrid, Verbum.  ISBN 847961648</w:t>
            </w:r>
          </w:p>
          <w:p w:rsidR="00000000" w:rsidDel="00000000" w:rsidP="00000000" w:rsidRDefault="00000000" w:rsidRPr="00000000" w14:paraId="00000087">
            <w:pPr>
              <w:tabs>
                <w:tab w:val="left" w:leader="none" w:pos="3780"/>
              </w:tabs>
              <w:rPr>
                <w:rFonts w:ascii="PT Sans" w:cs="PT Sans" w:eastAsia="PT Sans" w:hAnsi="PT Sans"/>
                <w:b w:val="1"/>
                <w:bCs w:val="1"/>
                <w:sz w:val="16"/>
                <w:szCs w:val="16"/>
              </w:rPr>
            </w:pPr>
            <w:r w:rsidDel="00000000" w:rsidR="00000000" w:rsidRPr="00000000">
              <w:rPr>
                <w:rFonts w:ascii="PT Sans" w:cs="PT Sans" w:eastAsia="PT Sans" w:hAnsi="PT Sans"/>
                <w:rtl w:val="0"/>
              </w:rPr>
              <w:t xml:space="preserve">Spanish-language journal and newspaper articles</w:t>
            </w:r>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ind w:right="-98"/>
              <w:jc w:val="both"/>
              <w:rPr>
                <w:rFonts w:ascii="PT Sans" w:cs="PT Sans" w:eastAsia="PT Sans" w:hAnsi="PT Sans"/>
              </w:rPr>
            </w:pPr>
            <w:r w:rsidDel="00000000" w:rsidR="00000000" w:rsidRPr="00000000">
              <w:rPr>
                <w:rFonts w:ascii="PT Sans" w:cs="PT Sans" w:eastAsia="PT Sans" w:hAnsi="PT Sans"/>
                <w:rtl w:val="0"/>
              </w:rPr>
              <w:t xml:space="preserve">Gelabert, M. J. ed. (1996): </w:t>
            </w:r>
            <w:r w:rsidDel="00000000" w:rsidR="00000000" w:rsidRPr="00000000">
              <w:rPr>
                <w:rFonts w:ascii="PT Sans" w:cs="PT Sans" w:eastAsia="PT Sans" w:hAnsi="PT Sans"/>
                <w:i w:val="1"/>
                <w:iCs w:val="1"/>
                <w:rtl w:val="0"/>
              </w:rPr>
              <w:t xml:space="preserve">Repertorio de funciones comunicativas del español.</w:t>
            </w:r>
            <w:r w:rsidDel="00000000" w:rsidR="00000000" w:rsidRPr="00000000">
              <w:rPr>
                <w:rFonts w:ascii="PT Sans" w:cs="PT Sans" w:eastAsia="PT Sans" w:hAnsi="PT Sans"/>
                <w:rtl w:val="0"/>
              </w:rPr>
              <w:t xml:space="preserve"> Madrid, SGEL.  ISBN 8471435756</w:t>
            </w:r>
          </w:p>
          <w:p w:rsidR="00000000" w:rsidDel="00000000" w:rsidP="00000000" w:rsidRDefault="00000000" w:rsidRPr="00000000" w14:paraId="0000008B">
            <w:pPr>
              <w:ind w:right="-98"/>
              <w:rPr>
                <w:rFonts w:ascii="PT Sans" w:cs="PT Sans" w:eastAsia="PT Sans" w:hAnsi="PT Sans"/>
              </w:rPr>
            </w:pPr>
            <w:r w:rsidDel="00000000" w:rsidR="00000000" w:rsidRPr="00000000">
              <w:rPr>
                <w:rFonts w:ascii="PT Sans" w:cs="PT Sans" w:eastAsia="PT Sans" w:hAnsi="PT Sans"/>
                <w:rtl w:val="0"/>
              </w:rPr>
              <w:t xml:space="preserve">Diccionario de la lengua espanola, </w:t>
            </w:r>
            <w:hyperlink r:id="rId14">
              <w:r w:rsidDel="00000000" w:rsidR="00000000" w:rsidRPr="00000000">
                <w:rPr>
                  <w:rFonts w:ascii="PT Sans" w:cs="PT Sans" w:eastAsia="PT Sans" w:hAnsi="PT Sans"/>
                  <w:color w:val="467886"/>
                  <w:u w:val="single"/>
                  <w:rtl w:val="0"/>
                </w:rPr>
                <w:t xml:space="preserve">http://dle.rae.es/?w=diccionario</w:t>
              </w:r>
            </w:hyperlink>
            <w:r w:rsidDel="00000000" w:rsidR="00000000" w:rsidRPr="00000000">
              <w:rPr>
                <w:rtl w:val="0"/>
              </w:rPr>
            </w:r>
          </w:p>
          <w:p w:rsidR="00000000" w:rsidDel="00000000" w:rsidP="00000000" w:rsidRDefault="00000000" w:rsidRPr="00000000" w14:paraId="0000008C">
            <w:pPr>
              <w:ind w:right="-98"/>
              <w:rPr>
                <w:rFonts w:ascii="PT Sans" w:cs="PT Sans" w:eastAsia="PT Sans" w:hAnsi="PT Sans"/>
              </w:rPr>
            </w:pPr>
            <w:r w:rsidDel="00000000" w:rsidR="00000000" w:rsidRPr="00000000">
              <w:rPr>
                <w:rFonts w:ascii="PT Sans" w:cs="PT Sans" w:eastAsia="PT Sans" w:hAnsi="PT Sans"/>
                <w:rtl w:val="0"/>
              </w:rPr>
              <w:t xml:space="preserve">Diccionario espanol de definiciones, </w:t>
            </w:r>
            <w:hyperlink r:id="rId15">
              <w:r w:rsidDel="00000000" w:rsidR="00000000" w:rsidRPr="00000000">
                <w:rPr>
                  <w:rFonts w:ascii="PT Sans" w:cs="PT Sans" w:eastAsia="PT Sans" w:hAnsi="PT Sans"/>
                  <w:color w:val="467886"/>
                  <w:u w:val="single"/>
                  <w:rtl w:val="0"/>
                </w:rPr>
                <w:t xml:space="preserve">http://www.wordreference.com/definicion/</w:t>
              </w:r>
            </w:hyperlink>
            <w:r w:rsidDel="00000000" w:rsidR="00000000" w:rsidRPr="00000000">
              <w:rPr>
                <w:rtl w:val="0"/>
              </w:rPr>
            </w:r>
          </w:p>
          <w:p w:rsidR="00000000" w:rsidDel="00000000" w:rsidP="00000000" w:rsidRDefault="00000000" w:rsidRPr="00000000" w14:paraId="0000008D">
            <w:pPr>
              <w:ind w:right="-98"/>
              <w:rPr>
                <w:rFonts w:ascii="PT Sans" w:cs="PT Sans" w:eastAsia="PT Sans" w:hAnsi="PT Sans"/>
                <w:b w:val="1"/>
                <w:bCs w:val="1"/>
              </w:rPr>
            </w:pPr>
            <w:r w:rsidDel="00000000" w:rsidR="00000000" w:rsidRPr="00000000">
              <w:rPr>
                <w:rFonts w:ascii="PT Sans" w:cs="PT Sans" w:eastAsia="PT Sans" w:hAnsi="PT Sans"/>
                <w:rtl w:val="0"/>
              </w:rPr>
              <w:t xml:space="preserve">Diccionario de sinónimos y antónimos, </w:t>
            </w:r>
            <w:hyperlink r:id="rId16">
              <w:r w:rsidDel="00000000" w:rsidR="00000000" w:rsidRPr="00000000">
                <w:rPr>
                  <w:rFonts w:ascii="PT Sans" w:cs="PT Sans" w:eastAsia="PT Sans" w:hAnsi="PT Sans"/>
                  <w:color w:val="467886"/>
                  <w:u w:val="single"/>
                  <w:rtl w:val="0"/>
                </w:rPr>
                <w:t xml:space="preserve">http://www.wordreference.com/sinonimos/</w:t>
              </w:r>
            </w:hyperlink>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w:t>
            </w:r>
            <w:r w:rsidDel="00000000" w:rsidR="00000000" w:rsidRPr="00000000">
              <w:rPr>
                <w:rFonts w:ascii="PT Sans" w:cs="PT Sans" w:eastAsia="PT Sans" w:hAnsi="PT Sans"/>
                <w:b w:val="1"/>
                <w:bCs w:val="1"/>
                <w:rtl w:val="0"/>
              </w:rPr>
              <w:t xml:space="preserve">: 2-2-2-2-2-2/10-10-10-10-10-10</w:t>
            </w:r>
            <w:r w:rsidDel="00000000" w:rsidR="00000000" w:rsidRPr="00000000">
              <w:rPr>
                <w:rtl w:val="0"/>
              </w:rPr>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Communicative language teaching approach</w:t>
            </w:r>
          </w:p>
          <w:p w:rsidR="00000000" w:rsidDel="00000000" w:rsidP="00000000" w:rsidRDefault="00000000" w:rsidRPr="00000000" w14:paraId="00000094">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Pair and group work</w:t>
            </w:r>
          </w:p>
          <w:p w:rsidR="00000000" w:rsidDel="00000000" w:rsidP="00000000" w:rsidRDefault="00000000" w:rsidRPr="00000000" w14:paraId="00000095">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Situational exercises and role-plays</w:t>
            </w:r>
          </w:p>
          <w:p w:rsidR="00000000" w:rsidDel="00000000" w:rsidP="00000000" w:rsidRDefault="00000000" w:rsidRPr="00000000" w14:paraId="00000096">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Processing of authentic materials (newspaper articles, radio and TV excerpts)</w:t>
            </w:r>
          </w:p>
          <w:p w:rsidR="00000000" w:rsidDel="00000000" w:rsidP="00000000" w:rsidRDefault="00000000" w:rsidRPr="00000000" w14:paraId="00000097">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Project-based tasks</w:t>
            </w:r>
          </w:p>
          <w:p w:rsidR="00000000" w:rsidDel="00000000" w:rsidP="00000000" w:rsidRDefault="00000000" w:rsidRPr="00000000" w14:paraId="00000098">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Interactive speaking activities and debates</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practice mark</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Active participation in classes and communicative tasks</w:t>
            </w:r>
          </w:p>
          <w:p w:rsidR="00000000" w:rsidDel="00000000" w:rsidP="00000000" w:rsidRDefault="00000000" w:rsidRPr="00000000" w14:paraId="0000009F">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Oral performance (fluency, accuracy, vocabulary usage)</w:t>
            </w:r>
          </w:p>
          <w:p w:rsidR="00000000" w:rsidDel="00000000" w:rsidP="00000000" w:rsidRDefault="00000000" w:rsidRPr="00000000" w14:paraId="000000A0">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Written assignments (essays, summaries, opinion writing)</w:t>
            </w:r>
          </w:p>
          <w:p w:rsidR="00000000" w:rsidDel="00000000" w:rsidP="00000000" w:rsidRDefault="00000000" w:rsidRPr="00000000" w14:paraId="000000A1">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Performance in listening and reading comprehension tasks</w:t>
            </w:r>
          </w:p>
          <w:p w:rsidR="00000000" w:rsidDel="00000000" w:rsidP="00000000" w:rsidRDefault="00000000" w:rsidRPr="00000000" w14:paraId="000000A2">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Results of in-class tests</w:t>
            </w:r>
            <w:r w:rsidDel="00000000" w:rsidR="00000000" w:rsidRPr="00000000">
              <w:rPr>
                <w:rtl w:val="0"/>
              </w:rPr>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A5">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A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A8">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familiar with the complex structures of C1-level Spanish grammar and their nuanced use</w:t>
            </w:r>
          </w:p>
          <w:p w:rsidR="00000000" w:rsidDel="00000000" w:rsidP="00000000" w:rsidRDefault="00000000" w:rsidRPr="00000000" w14:paraId="000000A9">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vocabulary and expressions related to advanced, abstract, and professional topics</w:t>
            </w:r>
          </w:p>
          <w:p w:rsidR="00000000" w:rsidDel="00000000" w:rsidP="00000000" w:rsidRDefault="00000000" w:rsidRPr="00000000" w14:paraId="000000AA">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familiar with the linguistic and stylistic features of authentic media and text types (analytical articles, opinion pieces, interviews)</w:t>
            </w:r>
          </w:p>
          <w:p w:rsidR="00000000" w:rsidDel="00000000" w:rsidP="00000000" w:rsidRDefault="00000000" w:rsidRPr="00000000" w14:paraId="000000AB">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aware of the functioning of different language registers, discourse organization principles, and communication strategies</w:t>
            </w:r>
          </w:p>
          <w:p w:rsidR="00000000" w:rsidDel="00000000" w:rsidP="00000000" w:rsidRDefault="00000000" w:rsidRPr="00000000" w14:paraId="000000AC">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AD">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communicate fluently, accurately, and with nuance in Spanish at C1 level</w:t>
            </w:r>
          </w:p>
          <w:p w:rsidR="00000000" w:rsidDel="00000000" w:rsidP="00000000" w:rsidRDefault="00000000" w:rsidRPr="00000000" w14:paraId="000000AE">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critically understand and interpret complex authentic texts</w:t>
            </w:r>
          </w:p>
          <w:p w:rsidR="00000000" w:rsidDel="00000000" w:rsidP="00000000" w:rsidRDefault="00000000" w:rsidRPr="00000000" w14:paraId="000000AF">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produce logically structured argumentative and analytical texts</w:t>
            </w:r>
          </w:p>
          <w:p w:rsidR="00000000" w:rsidDel="00000000" w:rsidP="00000000" w:rsidRDefault="00000000" w:rsidRPr="00000000" w14:paraId="000000B0">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apply different language skills in an integrated and flexible way in real communicative situations</w:t>
            </w:r>
          </w:p>
          <w:p w:rsidR="00000000" w:rsidDel="00000000" w:rsidP="00000000" w:rsidRDefault="00000000" w:rsidRPr="00000000" w14:paraId="000000B1">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independently process, evaluate, and synthesize information in a foreign language</w:t>
            </w:r>
          </w:p>
          <w:p w:rsidR="00000000" w:rsidDel="00000000" w:rsidP="00000000" w:rsidRDefault="00000000" w:rsidRPr="00000000" w14:paraId="000000B2">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B3">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open to nuanced, natural, and authentic use of the Spanish language</w:t>
            </w:r>
          </w:p>
          <w:p w:rsidR="00000000" w:rsidDel="00000000" w:rsidP="00000000" w:rsidRDefault="00000000" w:rsidRPr="00000000" w14:paraId="000000B4">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motivated to continuously develop high-level language competence</w:t>
            </w:r>
          </w:p>
          <w:p w:rsidR="00000000" w:rsidDel="00000000" w:rsidP="00000000" w:rsidRDefault="00000000" w:rsidRPr="00000000" w14:paraId="000000B5">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receptive to cultural and linguistic diversity</w:t>
            </w:r>
          </w:p>
          <w:p w:rsidR="00000000" w:rsidDel="00000000" w:rsidP="00000000" w:rsidRDefault="00000000" w:rsidRPr="00000000" w14:paraId="000000B6">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cooperative in complex communicative and group tasks</w:t>
            </w:r>
          </w:p>
          <w:p w:rsidR="00000000" w:rsidDel="00000000" w:rsidP="00000000" w:rsidRDefault="00000000" w:rsidRPr="00000000" w14:paraId="000000B7">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committed to precise, demanding, and conscious language use</w:t>
            </w:r>
          </w:p>
          <w:p w:rsidR="00000000" w:rsidDel="00000000" w:rsidP="00000000" w:rsidRDefault="00000000" w:rsidRPr="00000000" w14:paraId="000000B8">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B9">
            <w:pPr>
              <w:numPr>
                <w:ilvl w:val="0"/>
                <w:numId w:val="12"/>
              </w:numPr>
              <w:tabs>
                <w:tab w:val="left" w:leader="none" w:pos="3780"/>
              </w:tabs>
              <w:ind w:left="720" w:hanging="360"/>
              <w:jc w:val="both"/>
              <w:rPr>
                <w:rFonts w:ascii="PT Sans" w:cs="PT Sans" w:eastAsia="PT Sans" w:hAnsi="PT Sans"/>
                <w:sz w:val="24"/>
                <w:szCs w:val="24"/>
              </w:rPr>
            </w:pPr>
            <w:r w:rsidDel="00000000" w:rsidR="00000000" w:rsidRPr="00000000">
              <w:rPr>
                <w:rFonts w:ascii="PT Sans" w:cs="PT Sans" w:eastAsia="PT Sans" w:hAnsi="PT Sans"/>
                <w:rtl w:val="0"/>
              </w:rPr>
              <w:t xml:space="preserve">is able to independently solve advanced language</w:t>
            </w:r>
            <w:r w:rsidDel="00000000" w:rsidR="00000000" w:rsidRPr="00000000">
              <w:rPr>
                <w:rFonts w:ascii="PT Sans" w:cs="PT Sans" w:eastAsia="PT Sans" w:hAnsi="PT Sans"/>
                <w:sz w:val="24"/>
                <w:szCs w:val="24"/>
                <w:rtl w:val="0"/>
              </w:rPr>
              <w:t xml:space="preserve"> </w:t>
            </w:r>
            <w:r w:rsidDel="00000000" w:rsidR="00000000" w:rsidRPr="00000000">
              <w:rPr>
                <w:rFonts w:ascii="PT Sans" w:cs="PT Sans" w:eastAsia="PT Sans" w:hAnsi="PT Sans"/>
                <w:rtl w:val="0"/>
              </w:rPr>
              <w:t xml:space="preserve">tasks and interpret complex texts</w:t>
            </w:r>
          </w:p>
          <w:p w:rsidR="00000000" w:rsidDel="00000000" w:rsidP="00000000" w:rsidRDefault="00000000" w:rsidRPr="00000000" w14:paraId="000000BA">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takes responsibility for their own learning process and professional language development</w:t>
            </w:r>
          </w:p>
          <w:p w:rsidR="00000000" w:rsidDel="00000000" w:rsidP="00000000" w:rsidRDefault="00000000" w:rsidRPr="00000000" w14:paraId="000000BB">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capable of self-reflection and critically evaluating and improving their own language performance</w:t>
            </w:r>
          </w:p>
          <w:p w:rsidR="00000000" w:rsidDel="00000000" w:rsidP="00000000" w:rsidRDefault="00000000" w:rsidRPr="00000000" w14:paraId="000000BC">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and consciously uses authentic foreign-language resources (media, professional materials, online platforms)</w:t>
            </w:r>
          </w:p>
          <w:p w:rsidR="00000000" w:rsidDel="00000000" w:rsidP="00000000" w:rsidRDefault="00000000" w:rsidRPr="00000000" w14:paraId="000000BD">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perform confidently in both independent and collaborative communicative situations</w:t>
            </w: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CD3764"/>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CD3764"/>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CD3764"/>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CD3764"/>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CD3764"/>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CD3764"/>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CD3764"/>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CD3764"/>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CD3764"/>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CD3764"/>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CD3764"/>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CD3764"/>
    <w:rPr>
      <w:rFonts w:cstheme="majorBidi" w:eastAsiaTheme="majorEastAsia"/>
      <w:color w:val="272727" w:themeColor="text1" w:themeTint="0000D8"/>
    </w:rPr>
  </w:style>
  <w:style w:type="character" w:styleId="CmChar" w:customStyle="1">
    <w:name w:val="Cím Char"/>
    <w:basedOn w:val="Bekezdsalapbettpusa"/>
    <w:link w:val="Cm"/>
    <w:uiPriority w:val="10"/>
    <w:rsid w:val="00CD3764"/>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CD3764"/>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CD3764"/>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CD3764"/>
    <w:rPr>
      <w:i w:val="1"/>
      <w:iCs w:val="1"/>
      <w:color w:val="404040" w:themeColor="text1" w:themeTint="0000BF"/>
    </w:rPr>
  </w:style>
  <w:style w:type="paragraph" w:styleId="Listaszerbekezds">
    <w:name w:val="List Paragraph"/>
    <w:basedOn w:val="Norml"/>
    <w:uiPriority w:val="34"/>
    <w:qFormat w:val="1"/>
    <w:rsid w:val="00CD3764"/>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CD3764"/>
    <w:rPr>
      <w:i w:val="1"/>
      <w:iCs w:val="1"/>
      <w:color w:val="0f4761" w:themeColor="accent1" w:themeShade="0000BF"/>
    </w:rPr>
  </w:style>
  <w:style w:type="paragraph" w:styleId="Kiemeltidzet">
    <w:name w:val="Intense Quote"/>
    <w:basedOn w:val="Norml"/>
    <w:next w:val="Norml"/>
    <w:link w:val="KiemeltidzetChar"/>
    <w:uiPriority w:val="30"/>
    <w:qFormat w:val="1"/>
    <w:rsid w:val="00CD3764"/>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CD3764"/>
    <w:rPr>
      <w:i w:val="1"/>
      <w:iCs w:val="1"/>
      <w:color w:val="0f4761" w:themeColor="accent1" w:themeShade="0000BF"/>
    </w:rPr>
  </w:style>
  <w:style w:type="character" w:styleId="Ershivatkozs">
    <w:name w:val="Intense Reference"/>
    <w:basedOn w:val="Bekezdsalapbettpusa"/>
    <w:uiPriority w:val="32"/>
    <w:qFormat w:val="1"/>
    <w:rsid w:val="00CD3764"/>
    <w:rPr>
      <w:b w:val="1"/>
      <w:bCs w:val="1"/>
      <w:smallCaps w:val="1"/>
      <w:color w:val="0f4761" w:themeColor="accent1" w:themeShade="0000BF"/>
      <w:spacing w:val="5"/>
    </w:rPr>
  </w:style>
  <w:style w:type="character" w:styleId="ui-provider" w:customStyle="1">
    <w:name w:val="ui-provider"/>
    <w:basedOn w:val="Bekezdsalapbettpusa"/>
    <w:rsid w:val="00CD3764"/>
  </w:style>
  <w:style w:type="table" w:styleId="Rcsostblzat">
    <w:name w:val="Table Grid"/>
    <w:basedOn w:val="Normltblzat"/>
    <w:rsid w:val="00CD3764"/>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hivatkozs">
    <w:name w:val="Hyperlink"/>
    <w:basedOn w:val="Bekezdsalapbettpusa"/>
    <w:uiPriority w:val="99"/>
    <w:unhideWhenUsed w:val="1"/>
    <w:rsid w:val="00CD3764"/>
    <w:rPr>
      <w:color w:val="467886" w:themeColor="hyperlink"/>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wordreference.com/sinonimos/" TargetMode="External"/><Relationship Id="rId10" Type="http://schemas.openxmlformats.org/officeDocument/2006/relationships/hyperlink" Target="http://www.wordreference.com/definicion/" TargetMode="External"/><Relationship Id="rId13" Type="http://schemas.openxmlformats.org/officeDocument/2006/relationships/hyperlink" Target="https://lexika.hu/spanyol/nyelvvizsgakonyv/y-tu-que-dices-c1-felsofok" TargetMode="External"/><Relationship Id="rId12" Type="http://schemas.openxmlformats.org/officeDocument/2006/relationships/hyperlink" Target="https://lexika.hu/spanyol/nyelvvizsgakonyv/y-tu-que-dices-c1-felsofo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le.rae.es/?w=diccionario" TargetMode="External"/><Relationship Id="rId15" Type="http://schemas.openxmlformats.org/officeDocument/2006/relationships/hyperlink" Target="http://www.wordreference.com/definicion/" TargetMode="External"/><Relationship Id="rId14" Type="http://schemas.openxmlformats.org/officeDocument/2006/relationships/hyperlink" Target="http://dle.rae.es/?w=diccionario" TargetMode="External"/><Relationship Id="rId16" Type="http://schemas.openxmlformats.org/officeDocument/2006/relationships/hyperlink" Target="http://www.wordreference.com/sinonim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xika.hu/spanyol/nyelvvizsgakonyv/y-tu-que-dices-c1-felsofok" TargetMode="External"/><Relationship Id="rId8" Type="http://schemas.openxmlformats.org/officeDocument/2006/relationships/hyperlink" Target="https://lexika.hu/spanyol/nyelvvizsgakonyv/y-tu-que-dices-c1-felsofo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vlqF5K38SPlqBbWzqEjR6+uFQ==">CgMxLjAyDmgudmpjdjB6YTFqdWp2Mg5oLnE3MmkybnUwa295czgAciExNkZpeW4yeGNNeE5wVXB6WFNGLTI5SnIzdmdjbVc5YXQ=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2025-07-18T06:08:00Z</dcterms:created>
  <dc:creator>Csufor Krisztina</dc:creator>
</cp:coreProperties>
</file>