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3" w:rsidRDefault="00B10913" w:rsidP="00B1091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Conceptual History 1</w:t>
      </w:r>
    </w:p>
    <w:p w:rsidR="00B10913" w:rsidRPr="00CA6D43" w:rsidRDefault="00B10913" w:rsidP="00B1091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>Political theory in the age of Hellenism and in Rome in the early imperial period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B10913" w:rsidRPr="00CA6D43" w:rsidRDefault="00B10913" w:rsidP="00B1091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A6D4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A6D43">
        <w:rPr>
          <w:rFonts w:ascii="Times New Roman" w:hAnsi="Times New Roman" w:cs="Times New Roman"/>
          <w:sz w:val="24"/>
          <w:szCs w:val="24"/>
          <w:lang w:val="en-GB"/>
        </w:rPr>
        <w:t>lecture</w:t>
      </w:r>
      <w:proofErr w:type="gramEnd"/>
      <w:r w:rsidRPr="00CA6D4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10913" w:rsidRDefault="00B10913" w:rsidP="00B1091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BTÖ-DK-00</w:t>
      </w:r>
      <w:r w:rsidRPr="007B63CF">
        <w:rPr>
          <w:rFonts w:ascii="Times New Roman" w:hAnsi="Times New Roman" w:cs="Times New Roman"/>
          <w:sz w:val="24"/>
          <w:szCs w:val="24"/>
          <w:lang w:val="en-GB"/>
        </w:rPr>
        <w:t>3A</w:t>
      </w:r>
    </w:p>
    <w:p w:rsidR="00B10913" w:rsidRPr="00CA6D43" w:rsidRDefault="00B10913" w:rsidP="00B1091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series of 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>lectures aim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 at giving a guidance throug</w:t>
      </w:r>
      <w:r>
        <w:rPr>
          <w:rFonts w:ascii="Times New Roman" w:hAnsi="Times New Roman" w:cs="Times New Roman"/>
          <w:sz w:val="24"/>
          <w:szCs w:val="24"/>
          <w:lang w:val="en-GB"/>
        </w:rPr>
        <w:t>h the political theories in post-classical age. It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 face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 a specific challenge. The most prominent philosophers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era 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all insist emphatically that individuals can achieve perfect happiness, the highest goal, completely on their own and under any kinds of inhospitable political conditions. This being emphasized,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most of them did engage in genuine political philosophy. </w:t>
      </w:r>
      <w:r>
        <w:rPr>
          <w:rFonts w:ascii="Times New Roman" w:hAnsi="Times New Roman" w:cs="Times New Roman"/>
          <w:sz w:val="24"/>
          <w:szCs w:val="24"/>
          <w:lang w:val="en-GB"/>
        </w:rPr>
        <w:t>Even if one can subscribe to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 Isaiah Berlin's claim that the radically depoliticized outlook of Hellenistic philosophers signal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>ed one of the most revolutionary and crucial breaks in the history of Western political thought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some of the central theses expounded in the period, such as the 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>Stoic natural law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Epicurean social contract, are still with us in one way or another. The political theories in the Imperial Age show 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Requirement: an essay of 10.000 characters on some of issues discussed in the class, and to be presented at the end of the term.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course:</w:t>
      </w:r>
    </w:p>
    <w:p w:rsidR="00B10913" w:rsidRDefault="00B10913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Stoics IV: The social self and the wise in the city of fools</w:t>
      </w:r>
    </w:p>
    <w:p w:rsidR="00B10913" w:rsidRDefault="00B10913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Epicureans I: Happiness and communal life</w:t>
      </w:r>
    </w:p>
    <w:p w:rsidR="00B10913" w:rsidRDefault="00B10913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Epicureans II: Early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contractualism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justice</w:t>
      </w:r>
    </w:p>
    <w:p w:rsidR="00B10913" w:rsidRPr="00CB5CB1" w:rsidRDefault="00B10913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5CB1">
        <w:rPr>
          <w:rFonts w:ascii="Times New Roman" w:hAnsi="Times New Roman" w:cs="Times New Roman"/>
          <w:sz w:val="24"/>
          <w:szCs w:val="24"/>
          <w:lang w:val="en-GB"/>
        </w:rPr>
        <w:t>Cicero on the forms of government. The state as an organic unity</w:t>
      </w:r>
    </w:p>
    <w:p w:rsidR="00B10913" w:rsidRDefault="00B10913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Cicero on the ideal state based on natural rights.</w:t>
      </w:r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10913" w:rsidRDefault="00FE1F35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Authority</w:t>
      </w:r>
      <w:bookmarkStart w:id="0" w:name="_GoBack"/>
      <w:bookmarkEnd w:id="0"/>
      <w:r w:rsidR="00B10913"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B10913" w:rsidRPr="00CB5CB1">
        <w:rPr>
          <w:rFonts w:ascii="Times New Roman" w:hAnsi="Times New Roman" w:cs="Times New Roman"/>
          <w:sz w:val="24"/>
          <w:szCs w:val="24"/>
          <w:lang w:val="en-GB"/>
        </w:rPr>
        <w:t>tyrannocyde</w:t>
      </w:r>
      <w:proofErr w:type="spellEnd"/>
    </w:p>
    <w:p w:rsidR="00425CF8" w:rsidRDefault="002C6A60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Roman liberty</w:t>
      </w:r>
    </w:p>
    <w:p w:rsidR="002C6A60" w:rsidRDefault="002C6A60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notion of person, legal and philosophical</w:t>
      </w:r>
    </w:p>
    <w:p w:rsidR="00FE1F35" w:rsidRDefault="00B065E6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Roman cosmopolitanism</w:t>
      </w:r>
    </w:p>
    <w:p w:rsidR="002C6A60" w:rsidRDefault="00FE1F35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Seneca’s views on politics and his notion of</w:t>
      </w:r>
      <w:r w:rsidRPr="00FE1F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5CB1">
        <w:rPr>
          <w:rFonts w:ascii="Times New Roman" w:hAnsi="Times New Roman" w:cs="Times New Roman"/>
          <w:sz w:val="24"/>
          <w:szCs w:val="24"/>
          <w:lang w:val="en-GB"/>
        </w:rPr>
        <w:t>clemency</w:t>
      </w:r>
    </w:p>
    <w:p w:rsidR="002C6A60" w:rsidRDefault="002C6A60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theories of just war</w:t>
      </w:r>
    </w:p>
    <w:p w:rsidR="002C6A60" w:rsidRPr="00CB5CB1" w:rsidRDefault="002C6A60" w:rsidP="00B109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Augustine’s political views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Lecturer: Peter Lautner (</w:t>
      </w:r>
      <w:hyperlink r:id="rId5" w:history="1">
        <w:r w:rsidRPr="00716B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lautner@btk.ppke.hu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Venue:</w:t>
      </w:r>
      <w:r w:rsidR="00425CF8">
        <w:rPr>
          <w:rFonts w:ascii="Times New Roman" w:hAnsi="Times New Roman" w:cs="Times New Roman"/>
          <w:sz w:val="24"/>
          <w:szCs w:val="24"/>
          <w:lang w:val="en-GB"/>
        </w:rPr>
        <w:t xml:space="preserve"> D 304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Time: Monday</w:t>
      </w:r>
      <w:r w:rsidR="00425CF8">
        <w:rPr>
          <w:rFonts w:ascii="Times New Roman" w:hAnsi="Times New Roman" w:cs="Times New Roman"/>
          <w:sz w:val="24"/>
          <w:szCs w:val="24"/>
          <w:lang w:val="en-GB"/>
        </w:rPr>
        <w:t xml:space="preserve"> 14:30-16</w:t>
      </w:r>
      <w:r>
        <w:rPr>
          <w:rFonts w:ascii="Times New Roman" w:hAnsi="Times New Roman" w:cs="Times New Roman"/>
          <w:sz w:val="24"/>
          <w:szCs w:val="24"/>
          <w:lang w:val="en-GB"/>
        </w:rPr>
        <w:t>.00 PM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Literature:</w:t>
      </w:r>
    </w:p>
    <w:p w:rsidR="00972DCB" w:rsidRDefault="00972DCB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Atkins, J., Roman Political Thought. Cambridge: Cambridge University Press, 2018.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Atkins, J. and T.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Bénatouïl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(eds.), 2022, The Cambridge Companion to Cicero’s Philosophy, Cambridge: Cambridge University Press.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lastRenderedPageBreak/>
        <w:t>Balot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, Ryan K., (ed.),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2010, </w:t>
      </w:r>
      <w:proofErr w:type="gramStart"/>
      <w:r w:rsidRPr="00CB5CB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Companion to Greek and Roman Political Thought, Chichester: Wiley-Blackwell.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1598">
        <w:rPr>
          <w:rFonts w:ascii="Times New Roman" w:hAnsi="Times New Roman" w:cs="Times New Roman"/>
          <w:sz w:val="24"/>
          <w:szCs w:val="24"/>
          <w:lang w:val="en-GB"/>
        </w:rPr>
        <w:t>Brouwer</w:t>
      </w:r>
      <w:proofErr w:type="spellEnd"/>
      <w:r w:rsidRPr="00631598">
        <w:rPr>
          <w:rFonts w:ascii="Times New Roman" w:hAnsi="Times New Roman" w:cs="Times New Roman"/>
          <w:sz w:val="24"/>
          <w:szCs w:val="24"/>
          <w:lang w:val="en-GB"/>
        </w:rPr>
        <w:t>, R., 2021, Law and Philosophy in the Late Roman Republic, Cambridge: Cambridge University Press.</w:t>
      </w:r>
    </w:p>
    <w:p w:rsidR="00995CB6" w:rsidRDefault="00995CB6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Lane, M., Greek and Roman Political Ideas,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Hammondsworth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 Penguin, 2014.</w:t>
      </w:r>
    </w:p>
    <w:p w:rsidR="00B10913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Laurand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, V., 2005, La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politique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stoïcienne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, Paris: Presses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Universitaires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de France.</w:t>
      </w:r>
    </w:p>
    <w:p w:rsidR="00B10913" w:rsidRPr="00CB5CB1" w:rsidRDefault="00B10913" w:rsidP="00B109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Rowe, C., &amp; M. Schofield, (eds.), 2000, </w:t>
      </w:r>
      <w:proofErr w:type="gramStart"/>
      <w:r w:rsidRPr="00CB5CB1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Cambridge History of Greek and Roman Political Thought, Cambridge: Cambridge University Press.</w:t>
      </w:r>
    </w:p>
    <w:p w:rsidR="00754ADE" w:rsidRDefault="00FE1F35"/>
    <w:sectPr w:rsidR="0075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3A"/>
    <w:multiLevelType w:val="hybridMultilevel"/>
    <w:tmpl w:val="61208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13"/>
    <w:rsid w:val="002C6A60"/>
    <w:rsid w:val="00425CF8"/>
    <w:rsid w:val="00680B6A"/>
    <w:rsid w:val="00972DCB"/>
    <w:rsid w:val="00995CB6"/>
    <w:rsid w:val="00B065E6"/>
    <w:rsid w:val="00B10913"/>
    <w:rsid w:val="00FC0A55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294B"/>
  <w15:chartTrackingRefBased/>
  <w15:docId w15:val="{7608CEDB-3588-451A-99D5-8BB497AE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9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91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10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tner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409</Words>
  <Characters>2083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Lautner Péter</dc:creator>
  <cp:keywords/>
  <dc:description/>
  <cp:lastModifiedBy>Lautner Péter</cp:lastModifiedBy>
  <cp:revision>6</cp:revision>
  <dcterms:created xsi:type="dcterms:W3CDTF">2024-02-18T14:37:00Z</dcterms:created>
  <dcterms:modified xsi:type="dcterms:W3CDTF">2024-02-20T17:51:00Z</dcterms:modified>
</cp:coreProperties>
</file>