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58E5" w14:textId="7EA91882" w:rsidR="00BB7534" w:rsidRDefault="00BB7534" w:rsidP="00F273C7">
      <w:pPr>
        <w:pStyle w:val="NormlWeb"/>
        <w:spacing w:before="0" w:beforeAutospacing="0"/>
        <w:jc w:val="center"/>
        <w:rPr>
          <w:sz w:val="24"/>
          <w:szCs w:val="24"/>
        </w:rPr>
      </w:pPr>
      <w:r>
        <w:rPr>
          <w:sz w:val="24"/>
          <w:szCs w:val="24"/>
        </w:rPr>
        <w:t>Etikatörténet 2. (klasszikus német)</w:t>
      </w:r>
    </w:p>
    <w:p w14:paraId="76B0F6D9" w14:textId="2A5BFC15" w:rsidR="00BB7534" w:rsidRDefault="00BB7534" w:rsidP="00F273C7">
      <w:pPr>
        <w:pStyle w:val="NormlWeb"/>
        <w:spacing w:before="0" w:beforeAutospacing="0"/>
        <w:jc w:val="center"/>
      </w:pPr>
      <w:r>
        <w:rPr>
          <w:sz w:val="24"/>
          <w:szCs w:val="24"/>
        </w:rPr>
        <w:t>előadás</w:t>
      </w:r>
    </w:p>
    <w:p w14:paraId="2DEBEAB4" w14:textId="69F2A21C" w:rsidR="00BB7534" w:rsidRDefault="00BB7534" w:rsidP="00F273C7">
      <w:pPr>
        <w:pStyle w:val="NormlWeb"/>
        <w:spacing w:before="0" w:beforeAutospacing="0"/>
        <w:jc w:val="center"/>
        <w:rPr>
          <w:sz w:val="24"/>
          <w:szCs w:val="24"/>
        </w:rPr>
      </w:pPr>
      <w:r>
        <w:rPr>
          <w:sz w:val="24"/>
          <w:szCs w:val="24"/>
        </w:rPr>
        <w:t>2026. ősz</w:t>
      </w:r>
    </w:p>
    <w:p w14:paraId="7F43E9CE" w14:textId="36542D43" w:rsidR="00BB7534" w:rsidRDefault="00BB7534" w:rsidP="00F273C7">
      <w:pPr>
        <w:pStyle w:val="NormlWeb"/>
        <w:spacing w:before="0" w:beforeAutospacing="0"/>
        <w:jc w:val="center"/>
      </w:pPr>
      <w:r w:rsidRPr="00BB7534">
        <w:t>BONET01200</w:t>
      </w:r>
    </w:p>
    <w:p w14:paraId="5B0EEFC3" w14:textId="77777777" w:rsidR="00F273C7" w:rsidRDefault="00F273C7" w:rsidP="00F273C7">
      <w:pPr>
        <w:pStyle w:val="NormlWeb"/>
        <w:spacing w:before="0" w:beforeAutospacing="0"/>
        <w:jc w:val="center"/>
      </w:pPr>
    </w:p>
    <w:p w14:paraId="4E97BDC7" w14:textId="33CD66EF" w:rsidR="00BB7534" w:rsidRDefault="00BB7534" w:rsidP="00F273C7">
      <w:pPr>
        <w:pStyle w:val="NormlWeb"/>
        <w:spacing w:before="0" w:beforeAutospacing="0"/>
        <w:jc w:val="center"/>
      </w:pPr>
      <w:r>
        <w:rPr>
          <w:b/>
          <w:bCs/>
          <w:sz w:val="24"/>
          <w:szCs w:val="24"/>
        </w:rPr>
        <w:t>KURZUSLEÍRÁS</w:t>
      </w:r>
    </w:p>
    <w:p w14:paraId="0D650F6D" w14:textId="77777777" w:rsidR="00BB7534" w:rsidRDefault="00BB7534" w:rsidP="00F273C7">
      <w:pPr>
        <w:pStyle w:val="NormlWeb"/>
        <w:spacing w:before="0" w:beforeAutospacing="0"/>
      </w:pPr>
    </w:p>
    <w:p w14:paraId="134CCE60" w14:textId="7EC00C2D" w:rsidR="00BB7534" w:rsidRDefault="00BB7534" w:rsidP="00BB7534">
      <w:pPr>
        <w:pStyle w:val="NormlWeb"/>
      </w:pPr>
      <w:r>
        <w:rPr>
          <w:sz w:val="24"/>
          <w:szCs w:val="24"/>
        </w:rPr>
        <w:t>Az előadás két célt követ: betekintést kíván nyújtani a felvilágosodás korának gyakorlati filozófiájába, ehhez kapcsolódóan pedig ismertetni kívánja a kanti morálfilozófia főbb tételeit és problémafelvetéseit. A munka során a szoros szövegelemzések mellett általánosabb kérdések megfogalmazására is mód nyílik: szeretnék együtt gondolkodni a hallgatókkal az elméleti és a gyakorlati filozófia különbségének mibenlétéről, a morál eredetének és mibenlétének különböző felfogásairól, valamint arról: megalapozható-e érvényesen a racionális morál, és ha igen, hogyan?</w:t>
      </w:r>
    </w:p>
    <w:p w14:paraId="0495E310" w14:textId="77777777" w:rsidR="00BB7534" w:rsidRDefault="00BB7534" w:rsidP="00F273C7">
      <w:pPr>
        <w:pStyle w:val="NormlWeb"/>
        <w:spacing w:before="0" w:beforeAutospacing="0"/>
      </w:pPr>
      <w:r>
        <w:rPr>
          <w:b/>
          <w:bCs/>
          <w:sz w:val="24"/>
          <w:szCs w:val="24"/>
        </w:rPr>
        <w:t>Oktató</w:t>
      </w:r>
      <w:r>
        <w:rPr>
          <w:sz w:val="24"/>
          <w:szCs w:val="24"/>
        </w:rPr>
        <w:t>: Blandl Borbála (</w:t>
      </w:r>
      <w:hyperlink r:id="rId4" w:history="1">
        <w:r>
          <w:rPr>
            <w:rStyle w:val="Hiperhivatkozs"/>
            <w:rFonts w:eastAsiaTheme="majorEastAsia"/>
            <w:sz w:val="24"/>
            <w:szCs w:val="24"/>
          </w:rPr>
          <w:t>blandlborbala@gmail.com</w:t>
        </w:r>
      </w:hyperlink>
      <w:r>
        <w:rPr>
          <w:sz w:val="24"/>
          <w:szCs w:val="24"/>
        </w:rPr>
        <w:t>)</w:t>
      </w:r>
    </w:p>
    <w:p w14:paraId="05349A68" w14:textId="6A8BBA53" w:rsidR="00BB7534" w:rsidRDefault="00BB7534" w:rsidP="00F273C7">
      <w:pPr>
        <w:pStyle w:val="NormlWeb"/>
        <w:spacing w:before="0" w:beforeAutospacing="0"/>
      </w:pPr>
      <w:r>
        <w:rPr>
          <w:b/>
          <w:bCs/>
          <w:sz w:val="24"/>
          <w:szCs w:val="24"/>
        </w:rPr>
        <w:t>Időpont</w:t>
      </w:r>
      <w:r>
        <w:rPr>
          <w:sz w:val="24"/>
          <w:szCs w:val="24"/>
        </w:rPr>
        <w:t>:</w:t>
      </w:r>
      <w:r w:rsidR="00974CFB">
        <w:rPr>
          <w:sz w:val="24"/>
          <w:szCs w:val="24"/>
        </w:rPr>
        <w:t xml:space="preserve"> </w:t>
      </w:r>
      <w:proofErr w:type="gramStart"/>
      <w:r w:rsidR="00974CFB">
        <w:rPr>
          <w:sz w:val="24"/>
          <w:szCs w:val="24"/>
        </w:rPr>
        <w:t>Csütörtök</w:t>
      </w:r>
      <w:proofErr w:type="gramEnd"/>
      <w:r w:rsidR="00974CFB">
        <w:rPr>
          <w:sz w:val="24"/>
          <w:szCs w:val="24"/>
        </w:rPr>
        <w:t xml:space="preserve"> 8.15-9.45</w:t>
      </w:r>
    </w:p>
    <w:p w14:paraId="7AF85036" w14:textId="68F86C77" w:rsidR="00BB7534" w:rsidRDefault="00BB7534" w:rsidP="00F273C7">
      <w:pPr>
        <w:pStyle w:val="NormlWeb"/>
        <w:spacing w:before="0" w:beforeAutospacing="0"/>
        <w:rPr>
          <w:sz w:val="24"/>
          <w:szCs w:val="24"/>
        </w:rPr>
      </w:pPr>
      <w:r>
        <w:rPr>
          <w:b/>
          <w:bCs/>
          <w:sz w:val="24"/>
          <w:szCs w:val="24"/>
        </w:rPr>
        <w:t>Hely</w:t>
      </w:r>
      <w:r>
        <w:rPr>
          <w:sz w:val="24"/>
          <w:szCs w:val="24"/>
        </w:rPr>
        <w:t>:</w:t>
      </w:r>
      <w:r w:rsidR="00AB404E">
        <w:rPr>
          <w:sz w:val="24"/>
          <w:szCs w:val="24"/>
        </w:rPr>
        <w:t xml:space="preserve"> BTK D 403</w:t>
      </w:r>
    </w:p>
    <w:p w14:paraId="3F4F0EEB" w14:textId="77777777" w:rsidR="00F273C7" w:rsidRDefault="00F273C7" w:rsidP="00F273C7">
      <w:pPr>
        <w:pStyle w:val="NormlWeb"/>
        <w:spacing w:before="0" w:beforeAutospacing="0"/>
      </w:pPr>
    </w:p>
    <w:p w14:paraId="0FEE2E6C" w14:textId="77777777" w:rsidR="00F273C7" w:rsidRDefault="00BB7534" w:rsidP="00F273C7">
      <w:pPr>
        <w:pStyle w:val="NormlWeb"/>
        <w:spacing w:before="0" w:before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Munkamódszer</w:t>
      </w:r>
    </w:p>
    <w:p w14:paraId="533809C0" w14:textId="2419E18A" w:rsidR="00BB7534" w:rsidRDefault="00BB7534" w:rsidP="00F273C7">
      <w:pPr>
        <w:pStyle w:val="NormlWeb"/>
        <w:spacing w:before="0" w:beforeAutospacing="0"/>
      </w:pPr>
      <w:r>
        <w:rPr>
          <w:sz w:val="24"/>
          <w:szCs w:val="24"/>
        </w:rPr>
        <w:t>Az órákon tárgyalt szövegek olvasása erősen ajánlott, gyakran sor kerül majd a szoros szövegértelmezésre, illetve a témával kapcsolatos megállapítások megalapozása is jórészt ezekben a szövegekben található (így ez</w:t>
      </w:r>
      <w:r w:rsidR="003C4E91">
        <w:rPr>
          <w:sz w:val="24"/>
          <w:szCs w:val="24"/>
        </w:rPr>
        <w:t xml:space="preserve"> </w:t>
      </w:r>
      <w:r>
        <w:rPr>
          <w:sz w:val="24"/>
          <w:szCs w:val="24"/>
        </w:rPr>
        <w:t>képezi bármilyen értelmes vita alapját).</w:t>
      </w:r>
      <w:r w:rsidR="00FD0647">
        <w:rPr>
          <w:sz w:val="24"/>
          <w:szCs w:val="24"/>
        </w:rPr>
        <w:t xml:space="preserve"> </w:t>
      </w:r>
      <w:r w:rsidR="00E5184A">
        <w:rPr>
          <w:sz w:val="24"/>
          <w:szCs w:val="24"/>
        </w:rPr>
        <w:t xml:space="preserve">A MI </w:t>
      </w:r>
      <w:proofErr w:type="gramStart"/>
      <w:r w:rsidR="00E5184A">
        <w:rPr>
          <w:sz w:val="24"/>
          <w:szCs w:val="24"/>
        </w:rPr>
        <w:t>használata</w:t>
      </w:r>
      <w:proofErr w:type="gramEnd"/>
      <w:r w:rsidR="00E5184A">
        <w:rPr>
          <w:sz w:val="24"/>
          <w:szCs w:val="24"/>
        </w:rPr>
        <w:t xml:space="preserve"> a felkészülés során támogatott, de nem váltja ki a feladott szövegek</w:t>
      </w:r>
      <w:r w:rsidR="001A2C06">
        <w:rPr>
          <w:sz w:val="24"/>
          <w:szCs w:val="24"/>
        </w:rPr>
        <w:t xml:space="preserve"> </w:t>
      </w:r>
      <w:r w:rsidR="008A19C2">
        <w:rPr>
          <w:sz w:val="24"/>
          <w:szCs w:val="24"/>
        </w:rPr>
        <w:t>el</w:t>
      </w:r>
      <w:r w:rsidR="001A2C06">
        <w:rPr>
          <w:sz w:val="24"/>
          <w:szCs w:val="24"/>
        </w:rPr>
        <w:t xml:space="preserve">olvasását. </w:t>
      </w:r>
    </w:p>
    <w:p w14:paraId="2A263E4D" w14:textId="2C3CFD7C" w:rsidR="008468A6" w:rsidRPr="008468A6" w:rsidRDefault="00BB7534" w:rsidP="00BB7534">
      <w:pPr>
        <w:pStyle w:val="NormlWeb"/>
        <w:rPr>
          <w:sz w:val="24"/>
          <w:szCs w:val="24"/>
        </w:rPr>
      </w:pPr>
      <w:r>
        <w:rPr>
          <w:b/>
          <w:bCs/>
          <w:sz w:val="24"/>
          <w:szCs w:val="24"/>
        </w:rPr>
        <w:t>Követelmények</w:t>
      </w:r>
      <w:r>
        <w:rPr>
          <w:sz w:val="24"/>
          <w:szCs w:val="24"/>
        </w:rPr>
        <w:t xml:space="preserve"> </w:t>
      </w:r>
    </w:p>
    <w:p w14:paraId="17575A4D" w14:textId="77777777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</w:rPr>
        <w:t xml:space="preserve">Zárthelyi dolgozat, félév végén szóbeli vizsga a feladott szövegekből. </w:t>
      </w:r>
    </w:p>
    <w:p w14:paraId="0D2FF90B" w14:textId="77777777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  <w:u w:val="single"/>
        </w:rPr>
        <w:t>Értékelés</w:t>
      </w:r>
      <w:r>
        <w:rPr>
          <w:sz w:val="24"/>
          <w:szCs w:val="24"/>
        </w:rPr>
        <w:t>: A vizsga a zárthelyi dolgozatban adott válaszok megbeszélésén alapul.</w:t>
      </w:r>
    </w:p>
    <w:p w14:paraId="0471CFE6" w14:textId="77777777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  <w:u w:val="single"/>
        </w:rPr>
        <w:t>Hiányzás</w:t>
      </w:r>
      <w:r>
        <w:rPr>
          <w:sz w:val="24"/>
          <w:szCs w:val="24"/>
        </w:rPr>
        <w:t>: Az előadásokon javasolt a személyes jelenlét.</w:t>
      </w:r>
    </w:p>
    <w:p w14:paraId="51DC3AD4" w14:textId="77777777" w:rsidR="008468A6" w:rsidRDefault="00BB7534" w:rsidP="008468A6">
      <w:pPr>
        <w:pStyle w:val="NormlWeb"/>
        <w:spacing w:before="0" w:beforeAutospacing="0"/>
      </w:pPr>
      <w:r>
        <w:rPr>
          <w:sz w:val="24"/>
          <w:szCs w:val="24"/>
          <w:u w:val="single"/>
        </w:rPr>
        <w:t>Órai munka:</w:t>
      </w:r>
      <w:r>
        <w:rPr>
          <w:sz w:val="24"/>
          <w:szCs w:val="24"/>
        </w:rPr>
        <w:t xml:space="preserve"> Aktív órai részvétel javasolt.</w:t>
      </w:r>
    </w:p>
    <w:p w14:paraId="711FDACC" w14:textId="7175DE40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  <w:u w:val="single"/>
        </w:rPr>
        <w:t>A ZH</w:t>
      </w:r>
      <w:r>
        <w:rPr>
          <w:sz w:val="24"/>
          <w:szCs w:val="24"/>
        </w:rPr>
        <w:t xml:space="preserve"> anyaga: a kötelező olvasmányok központi téziseinek és kiemelt definícióinak ismertetése, értelmezése. A ZH-hoz a vizsgát megelőzően tételsort adok.</w:t>
      </w:r>
    </w:p>
    <w:p w14:paraId="6CE08A91" w14:textId="77777777" w:rsidR="00BB7534" w:rsidRDefault="00BB7534" w:rsidP="00BB7534">
      <w:pPr>
        <w:pStyle w:val="NormlWeb"/>
      </w:pPr>
      <w:r>
        <w:rPr>
          <w:b/>
          <w:bCs/>
          <w:sz w:val="24"/>
          <w:szCs w:val="24"/>
        </w:rPr>
        <w:t xml:space="preserve">Kötelező olvasmányok </w:t>
      </w:r>
    </w:p>
    <w:p w14:paraId="56451A03" w14:textId="165AA4BE" w:rsidR="008468A6" w:rsidRDefault="00BB7534" w:rsidP="008468A6">
      <w:pPr>
        <w:pStyle w:val="NormlWeb"/>
        <w:spacing w:before="0" w:beforeAutospacing="0"/>
      </w:pPr>
      <w:r>
        <w:rPr>
          <w:sz w:val="24"/>
          <w:szCs w:val="24"/>
        </w:rPr>
        <w:t xml:space="preserve">Kant, Immanuel: </w:t>
      </w:r>
      <w:r>
        <w:rPr>
          <w:i/>
          <w:iCs/>
          <w:sz w:val="24"/>
          <w:szCs w:val="24"/>
        </w:rPr>
        <w:t>Az erkölcsök metafizikájának alapvetése,</w:t>
      </w:r>
      <w:r>
        <w:rPr>
          <w:sz w:val="24"/>
          <w:szCs w:val="24"/>
        </w:rPr>
        <w:t xml:space="preserve"> fordította: Berényi Gábor/Tengelyi László. Budapest, </w:t>
      </w:r>
      <w:proofErr w:type="spellStart"/>
      <w:r>
        <w:rPr>
          <w:sz w:val="24"/>
          <w:szCs w:val="24"/>
        </w:rPr>
        <w:t>Raabe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Klett</w:t>
      </w:r>
      <w:proofErr w:type="spellEnd"/>
      <w:r>
        <w:rPr>
          <w:sz w:val="24"/>
          <w:szCs w:val="24"/>
        </w:rPr>
        <w:t xml:space="preserve"> Kiadó, 1998. </w:t>
      </w:r>
      <w:r w:rsidR="00C2553C">
        <w:rPr>
          <w:sz w:val="24"/>
          <w:szCs w:val="24"/>
        </w:rPr>
        <w:t>(Ezt a kiadást használjuk!)</w:t>
      </w:r>
    </w:p>
    <w:p w14:paraId="54630ED5" w14:textId="1879E748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</w:rPr>
        <w:t xml:space="preserve">Kant, Immanuel: </w:t>
      </w:r>
      <w:r>
        <w:rPr>
          <w:i/>
          <w:iCs/>
          <w:sz w:val="24"/>
          <w:szCs w:val="24"/>
        </w:rPr>
        <w:t>A gyakorlati ész kritikája,</w:t>
      </w:r>
      <w:r>
        <w:rPr>
          <w:sz w:val="24"/>
          <w:szCs w:val="24"/>
        </w:rPr>
        <w:t xml:space="preserve"> fordította: Papp Zoltán. Budapest, Osiris Kiadó, 2004.</w:t>
      </w:r>
      <w:r w:rsidR="008468A6">
        <w:rPr>
          <w:sz w:val="24"/>
          <w:szCs w:val="24"/>
        </w:rPr>
        <w:t xml:space="preserve"> </w:t>
      </w:r>
      <w:r w:rsidR="00C2553C">
        <w:rPr>
          <w:sz w:val="24"/>
          <w:szCs w:val="24"/>
        </w:rPr>
        <w:t>(Más kiadás is jó.)</w:t>
      </w:r>
    </w:p>
    <w:p w14:paraId="76003603" w14:textId="77777777" w:rsidR="00BB7534" w:rsidRDefault="00BB7534" w:rsidP="008468A6">
      <w:pPr>
        <w:pStyle w:val="NormlWeb"/>
      </w:pPr>
      <w:r>
        <w:rPr>
          <w:b/>
          <w:bCs/>
          <w:sz w:val="24"/>
          <w:szCs w:val="24"/>
        </w:rPr>
        <w:t>Ajánlott irodalom</w:t>
      </w:r>
    </w:p>
    <w:p w14:paraId="3F74CBB4" w14:textId="77777777" w:rsidR="008468A6" w:rsidRDefault="00BB7534" w:rsidP="008468A6">
      <w:pPr>
        <w:pStyle w:val="NormlWeb"/>
        <w:spacing w:before="0" w:beforeAutospacing="0"/>
        <w:ind w:left="425" w:hanging="425"/>
      </w:pPr>
      <w:r>
        <w:rPr>
          <w:sz w:val="24"/>
          <w:szCs w:val="24"/>
        </w:rPr>
        <w:t>Hume: Értekezés az emberi természetről, Budapest, Gondolat, 1973, 623-649. o.</w:t>
      </w:r>
    </w:p>
    <w:p w14:paraId="03635B09" w14:textId="10C3B7F4" w:rsidR="00BB7534" w:rsidRDefault="00BB7534" w:rsidP="008468A6">
      <w:pPr>
        <w:pStyle w:val="NormlWeb"/>
        <w:spacing w:before="0" w:beforeAutospacing="0"/>
        <w:ind w:left="425" w:hanging="425"/>
      </w:pPr>
      <w:r>
        <w:rPr>
          <w:sz w:val="24"/>
          <w:szCs w:val="24"/>
        </w:rPr>
        <w:t xml:space="preserve">Kant, Immanuel: Az emberi természetben lakozó gyökeres rossz, in: </w:t>
      </w:r>
      <w:proofErr w:type="spellStart"/>
      <w:r>
        <w:rPr>
          <w:sz w:val="24"/>
          <w:szCs w:val="24"/>
        </w:rPr>
        <w:t>Uő</w:t>
      </w:r>
      <w:proofErr w:type="spellEnd"/>
      <w:r>
        <w:rPr>
          <w:sz w:val="24"/>
          <w:szCs w:val="24"/>
        </w:rPr>
        <w:t xml:space="preserve">: </w:t>
      </w:r>
      <w:hyperlink r:id="rId5" w:history="1">
        <w:r>
          <w:rPr>
            <w:rStyle w:val="Hiperhivatkozs"/>
            <w:rFonts w:eastAsiaTheme="majorEastAsia"/>
            <w:i/>
            <w:iCs/>
            <w:sz w:val="24"/>
            <w:szCs w:val="24"/>
          </w:rPr>
          <w:t>A vallás a puszta ész határain belül és más írások</w:t>
        </w:r>
      </w:hyperlink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144–187., fordította: Vidrányi Katalin. Budapest, Gondolat Kiadó, 1974.</w:t>
      </w:r>
    </w:p>
    <w:p w14:paraId="15A819E0" w14:textId="77777777" w:rsidR="00BB7534" w:rsidRDefault="00BB7534" w:rsidP="008468A6">
      <w:pPr>
        <w:pStyle w:val="NormlWeb"/>
        <w:spacing w:before="0" w:beforeAutospacing="0"/>
        <w:ind w:left="425" w:hanging="425"/>
      </w:pPr>
      <w:r>
        <w:rPr>
          <w:sz w:val="24"/>
          <w:szCs w:val="24"/>
        </w:rPr>
        <w:t xml:space="preserve">Tengelyi László: </w:t>
      </w:r>
      <w:r>
        <w:rPr>
          <w:i/>
          <w:iCs/>
          <w:sz w:val="24"/>
          <w:szCs w:val="24"/>
        </w:rPr>
        <w:t>Kant,</w:t>
      </w:r>
      <w:r>
        <w:rPr>
          <w:sz w:val="24"/>
          <w:szCs w:val="24"/>
        </w:rPr>
        <w:t xml:space="preserve"> Budapest, Kossuth Könyvkiadó, 1988., különösen: az „Autonómia és világrend” c. fejezet. (Más kiadás is jó.)</w:t>
      </w:r>
    </w:p>
    <w:p w14:paraId="6CF56EC9" w14:textId="77777777" w:rsidR="00BB7534" w:rsidRDefault="00BB7534" w:rsidP="008468A6">
      <w:pPr>
        <w:pStyle w:val="NormlWeb"/>
        <w:spacing w:before="0" w:beforeAutospacing="0"/>
        <w:ind w:left="425" w:hanging="425"/>
      </w:pPr>
      <w:proofErr w:type="spellStart"/>
      <w:r>
        <w:rPr>
          <w:sz w:val="24"/>
          <w:szCs w:val="24"/>
        </w:rPr>
        <w:t>Cassirer</w:t>
      </w:r>
      <w:proofErr w:type="spellEnd"/>
      <w:r>
        <w:rPr>
          <w:sz w:val="24"/>
          <w:szCs w:val="24"/>
        </w:rPr>
        <w:t xml:space="preserve">, E.: </w:t>
      </w:r>
      <w:hyperlink r:id="rId6" w:history="1">
        <w:r>
          <w:rPr>
            <w:rStyle w:val="Hiperhivatkozs"/>
            <w:rFonts w:eastAsiaTheme="majorEastAsia"/>
            <w:i/>
            <w:iCs/>
            <w:sz w:val="24"/>
            <w:szCs w:val="24"/>
          </w:rPr>
          <w:t>Kant élete és műve.</w:t>
        </w:r>
      </w:hyperlink>
      <w:r>
        <w:rPr>
          <w:sz w:val="24"/>
          <w:szCs w:val="24"/>
        </w:rPr>
        <w:t xml:space="preserve"> Budapest, Osiris-Gond, 2001., különösen: „A kritikai etika fölépítése” c. fejezet.</w:t>
      </w:r>
    </w:p>
    <w:p w14:paraId="1EA80FBC" w14:textId="77777777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</w:rPr>
        <w:t xml:space="preserve">G. </w:t>
      </w:r>
      <w:proofErr w:type="spellStart"/>
      <w:r>
        <w:rPr>
          <w:sz w:val="24"/>
          <w:szCs w:val="24"/>
        </w:rPr>
        <w:t>Prauß</w:t>
      </w:r>
      <w:proofErr w:type="spellEnd"/>
      <w:r>
        <w:rPr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 xml:space="preserve">Kant </w:t>
      </w:r>
      <w:proofErr w:type="spellStart"/>
      <w:r>
        <w:rPr>
          <w:i/>
          <w:iCs/>
          <w:sz w:val="24"/>
          <w:szCs w:val="24"/>
        </w:rPr>
        <w:t>über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Freiheit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als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Autonomie</w:t>
      </w:r>
      <w:proofErr w:type="spellEnd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Frankfurt </w:t>
      </w:r>
      <w:proofErr w:type="spellStart"/>
      <w:r>
        <w:rPr>
          <w:sz w:val="24"/>
          <w:szCs w:val="24"/>
        </w:rPr>
        <w:t>a.M.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Klostermann</w:t>
      </w:r>
      <w:proofErr w:type="spellEnd"/>
      <w:r>
        <w:rPr>
          <w:sz w:val="24"/>
          <w:szCs w:val="24"/>
        </w:rPr>
        <w:t>, 1983. (Kérésre hozzáférést biztosítok.)</w:t>
      </w:r>
    </w:p>
    <w:p w14:paraId="30706EF2" w14:textId="77777777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</w:rPr>
        <w:lastRenderedPageBreak/>
        <w:t xml:space="preserve">Marcus </w:t>
      </w:r>
      <w:proofErr w:type="spellStart"/>
      <w:r>
        <w:rPr>
          <w:sz w:val="24"/>
          <w:szCs w:val="24"/>
        </w:rPr>
        <w:t>Willaschek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i/>
          <w:iCs/>
          <w:sz w:val="24"/>
          <w:szCs w:val="24"/>
        </w:rPr>
        <w:t>Praktische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Vernunft</w:t>
      </w:r>
      <w:proofErr w:type="spellEnd"/>
      <w:r>
        <w:rPr>
          <w:i/>
          <w:iCs/>
          <w:sz w:val="24"/>
          <w:szCs w:val="24"/>
        </w:rPr>
        <w:t xml:space="preserve">. </w:t>
      </w:r>
      <w:proofErr w:type="spellStart"/>
      <w:r>
        <w:rPr>
          <w:i/>
          <w:iCs/>
          <w:sz w:val="24"/>
          <w:szCs w:val="24"/>
        </w:rPr>
        <w:t>Handlungstehorie</w:t>
      </w:r>
      <w:proofErr w:type="spellEnd"/>
      <w:r>
        <w:rPr>
          <w:i/>
          <w:iCs/>
          <w:sz w:val="24"/>
          <w:szCs w:val="24"/>
        </w:rPr>
        <w:t xml:space="preserve"> und </w:t>
      </w:r>
      <w:proofErr w:type="spellStart"/>
      <w:r>
        <w:rPr>
          <w:i/>
          <w:iCs/>
          <w:sz w:val="24"/>
          <w:szCs w:val="24"/>
        </w:rPr>
        <w:t>Moralbegründung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bei</w:t>
      </w:r>
      <w:proofErr w:type="spellEnd"/>
      <w:r>
        <w:rPr>
          <w:i/>
          <w:iCs/>
          <w:sz w:val="24"/>
          <w:szCs w:val="24"/>
        </w:rPr>
        <w:t xml:space="preserve"> Kant,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Stutgart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Weimar</w:t>
      </w:r>
      <w:proofErr w:type="spellEnd"/>
      <w:r>
        <w:rPr>
          <w:sz w:val="24"/>
          <w:szCs w:val="24"/>
        </w:rPr>
        <w:t xml:space="preserve">, J.B. </w:t>
      </w:r>
      <w:proofErr w:type="spellStart"/>
      <w:r>
        <w:rPr>
          <w:sz w:val="24"/>
          <w:szCs w:val="24"/>
        </w:rPr>
        <w:t>Metzler</w:t>
      </w:r>
      <w:proofErr w:type="spellEnd"/>
      <w:r>
        <w:rPr>
          <w:sz w:val="24"/>
          <w:szCs w:val="24"/>
        </w:rPr>
        <w:t>, 1992., különösen a „</w:t>
      </w:r>
      <w:proofErr w:type="spellStart"/>
      <w:r>
        <w:rPr>
          <w:sz w:val="24"/>
          <w:szCs w:val="24"/>
        </w:rPr>
        <w:t>Handlung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Moral</w:t>
      </w:r>
      <w:proofErr w:type="spellEnd"/>
      <w:r>
        <w:rPr>
          <w:sz w:val="24"/>
          <w:szCs w:val="24"/>
        </w:rPr>
        <w:t>” c. fejezet. (Kérésre hozzáférést biztosítok.)</w:t>
      </w:r>
    </w:p>
    <w:p w14:paraId="645D16F9" w14:textId="77777777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</w:rPr>
        <w:t xml:space="preserve">H.E. </w:t>
      </w:r>
      <w:proofErr w:type="spellStart"/>
      <w:r>
        <w:rPr>
          <w:sz w:val="24"/>
          <w:szCs w:val="24"/>
        </w:rPr>
        <w:t>Alison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i/>
          <w:iCs/>
          <w:sz w:val="24"/>
          <w:szCs w:val="24"/>
        </w:rPr>
        <w:t>Kant's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Theory</w:t>
      </w:r>
      <w:proofErr w:type="spellEnd"/>
      <w:r>
        <w:rPr>
          <w:i/>
          <w:iCs/>
          <w:sz w:val="24"/>
          <w:szCs w:val="24"/>
        </w:rPr>
        <w:t xml:space="preserve"> of </w:t>
      </w:r>
      <w:proofErr w:type="spellStart"/>
      <w:r>
        <w:rPr>
          <w:i/>
          <w:iCs/>
          <w:sz w:val="24"/>
          <w:szCs w:val="24"/>
        </w:rPr>
        <w:t>Freedom</w:t>
      </w:r>
      <w:proofErr w:type="spellEnd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CUP, 1990., különösen a „The </w:t>
      </w:r>
      <w:proofErr w:type="spellStart"/>
      <w:r>
        <w:rPr>
          <w:sz w:val="24"/>
          <w:szCs w:val="24"/>
        </w:rPr>
        <w:t>Fact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Reason</w:t>
      </w:r>
      <w:proofErr w:type="spellEnd"/>
      <w:r>
        <w:rPr>
          <w:sz w:val="24"/>
          <w:szCs w:val="24"/>
        </w:rPr>
        <w:t xml:space="preserve"> and the </w:t>
      </w:r>
      <w:proofErr w:type="spellStart"/>
      <w:r>
        <w:rPr>
          <w:sz w:val="24"/>
          <w:szCs w:val="24"/>
        </w:rPr>
        <w:t>Deduction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Freedom</w:t>
      </w:r>
      <w:proofErr w:type="spellEnd"/>
      <w:r>
        <w:rPr>
          <w:sz w:val="24"/>
          <w:szCs w:val="24"/>
        </w:rPr>
        <w:t>” c. fejezet. (Kérésre hozzáférést biztosítok.)</w:t>
      </w:r>
    </w:p>
    <w:p w14:paraId="62473F39" w14:textId="77777777" w:rsidR="00BB7534" w:rsidRDefault="00BB7534" w:rsidP="008468A6">
      <w:pPr>
        <w:pStyle w:val="NormlWeb"/>
        <w:spacing w:before="0" w:beforeAutospacing="0"/>
      </w:pPr>
      <w:proofErr w:type="spellStart"/>
      <w:r>
        <w:rPr>
          <w:sz w:val="24"/>
          <w:szCs w:val="24"/>
        </w:rPr>
        <w:t>Alasdair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MacIntyre</w:t>
      </w:r>
      <w:proofErr w:type="spellEnd"/>
      <w:r>
        <w:rPr>
          <w:sz w:val="24"/>
          <w:szCs w:val="24"/>
        </w:rPr>
        <w:t xml:space="preserve">: </w:t>
      </w:r>
      <w:hyperlink r:id="rId7" w:history="1">
        <w:r>
          <w:rPr>
            <w:rStyle w:val="Hiperhivatkozs"/>
            <w:rFonts w:eastAsiaTheme="majorEastAsia"/>
            <w:i/>
            <w:iCs/>
            <w:sz w:val="24"/>
            <w:szCs w:val="24"/>
          </w:rPr>
          <w:t>Az erény nyomában,</w:t>
        </w:r>
      </w:hyperlink>
      <w:r>
        <w:rPr>
          <w:sz w:val="24"/>
          <w:szCs w:val="24"/>
        </w:rPr>
        <w:t xml:space="preserve"> különösen a IV. fejezet: „Az előző kultúra és a felvilágosodás programja a moralitás igazolására‟, Osiris, Budapest, 1999, 58-76. o.</w:t>
      </w:r>
    </w:p>
    <w:p w14:paraId="625155B5" w14:textId="77777777" w:rsidR="00BB7534" w:rsidRDefault="00BB7534" w:rsidP="008468A6">
      <w:pPr>
        <w:pStyle w:val="NormlWeb"/>
        <w:spacing w:before="0" w:beforeAutospacing="0"/>
      </w:pPr>
      <w:r>
        <w:rPr>
          <w:sz w:val="24"/>
          <w:szCs w:val="24"/>
        </w:rPr>
        <w:t xml:space="preserve">Szegedi Nóra: </w:t>
      </w:r>
      <w:hyperlink r:id="rId8" w:history="1">
        <w:r>
          <w:rPr>
            <w:rStyle w:val="Hiperhivatkozs"/>
            <w:rFonts w:eastAsiaTheme="majorEastAsia"/>
            <w:sz w:val="24"/>
            <w:szCs w:val="24"/>
          </w:rPr>
          <w:t xml:space="preserve">„A </w:t>
        </w:r>
        <w:proofErr w:type="gramStart"/>
        <w:r>
          <w:rPr>
            <w:rStyle w:val="Hiperhivatkozs"/>
            <w:rFonts w:eastAsiaTheme="majorEastAsia"/>
            <w:sz w:val="24"/>
            <w:szCs w:val="24"/>
          </w:rPr>
          <w:t>szabadság</w:t>
        </w:r>
        <w:proofErr w:type="gramEnd"/>
        <w:r>
          <w:rPr>
            <w:rStyle w:val="Hiperhivatkozs"/>
            <w:rFonts w:eastAsiaTheme="majorEastAsia"/>
            <w:sz w:val="24"/>
            <w:szCs w:val="24"/>
          </w:rPr>
          <w:t xml:space="preserve"> mint autonómia: Kant”</w:t>
        </w:r>
      </w:hyperlink>
      <w:r>
        <w:rPr>
          <w:sz w:val="24"/>
          <w:szCs w:val="24"/>
        </w:rPr>
        <w:t>, Magyar Filozófiai Szemle, 2016/2., 100–128.o.</w:t>
      </w:r>
    </w:p>
    <w:p w14:paraId="736DA083" w14:textId="77777777" w:rsidR="00BB7534" w:rsidRDefault="00BB7534" w:rsidP="008468A6"/>
    <w:sectPr w:rsidR="00BB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83"/>
    <w:rsid w:val="0000110B"/>
    <w:rsid w:val="0000386F"/>
    <w:rsid w:val="001A2C06"/>
    <w:rsid w:val="003C4E91"/>
    <w:rsid w:val="006F5272"/>
    <w:rsid w:val="00737583"/>
    <w:rsid w:val="007E7E43"/>
    <w:rsid w:val="008468A6"/>
    <w:rsid w:val="008A19C2"/>
    <w:rsid w:val="0090779F"/>
    <w:rsid w:val="00974CFB"/>
    <w:rsid w:val="009E1236"/>
    <w:rsid w:val="00AB404E"/>
    <w:rsid w:val="00BB7534"/>
    <w:rsid w:val="00BD61BF"/>
    <w:rsid w:val="00C2553C"/>
    <w:rsid w:val="00D533A2"/>
    <w:rsid w:val="00D94E90"/>
    <w:rsid w:val="00E5184A"/>
    <w:rsid w:val="00EF3F55"/>
    <w:rsid w:val="00EF7644"/>
    <w:rsid w:val="00EF7F31"/>
    <w:rsid w:val="00F273C7"/>
    <w:rsid w:val="00FD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7B25"/>
  <w15:chartTrackingRefBased/>
  <w15:docId w15:val="{297F6BF4-7F78-4D4B-99A8-3172D118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HAns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3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3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375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375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375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375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375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375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375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3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3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3758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3758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3758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3758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3758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3758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37583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3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3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375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3758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3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3758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375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3758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3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3758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37583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BB7534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BB7534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ozofiaiszemle.net/wp-content/uploads/2017/01/Szegedi-N&#243;ra-A-szabads&#225;g-mint-auton&#243;mia-Kan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zaktars.hu/osiris/view/macintyre-alasdair-az-ereny-nyomaban-erkolcselmeleti-tanulmany-osiris-konyvtar-filozofia-1999/?pg=0&amp;layout=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zaktars.hu/osiris/view/cassirer-ernst-kant-elete-es-muve-historia-philosophiae-2001/?pg=0&amp;layout=s" TargetMode="External"/><Relationship Id="rId5" Type="http://schemas.openxmlformats.org/officeDocument/2006/relationships/hyperlink" Target="https://mek.oszk.hu/06600/06616/06616.pdf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blandlbori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Blandl Borbla</dc:creator>
  <cp:keywords/>
  <dc:description/>
  <cp:lastModifiedBy>Hankovszky Tamás</cp:lastModifiedBy>
  <cp:revision>2</cp:revision>
  <dcterms:created xsi:type="dcterms:W3CDTF">2026-07-30T20:34:00Z</dcterms:created>
  <dcterms:modified xsi:type="dcterms:W3CDTF">2026-07-30T20:34:00Z</dcterms:modified>
</cp:coreProperties>
</file>