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Ind w:w="0" w:type="dxa"/>
        <w:tblLook w:val="01E0" w:firstRow="1" w:lastRow="1" w:firstColumn="1" w:lastColumn="1" w:noHBand="0" w:noVBand="0"/>
      </w:tblPr>
      <w:tblGrid>
        <w:gridCol w:w="9781"/>
      </w:tblGrid>
      <w:tr w:rsidR="00000000" w14:paraId="00A5875D" w14:textId="77777777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0FBCC77" w14:textId="77777777" w:rsidR="00000000" w:rsidRDefault="00000000">
            <w:pPr>
              <w:jc w:val="center"/>
            </w:pPr>
            <w:r>
              <w:rPr>
                <w:b/>
                <w:bCs/>
              </w:rPr>
              <w:t>Érveléstechnika</w:t>
            </w:r>
          </w:p>
          <w:p w14:paraId="46DFCD3E" w14:textId="77777777" w:rsidR="00000000" w:rsidRDefault="00000000">
            <w:pPr>
              <w:jc w:val="center"/>
            </w:pPr>
            <w:r>
              <w:t xml:space="preserve">szeminárium, BBNSF15100 </w:t>
            </w:r>
          </w:p>
          <w:p w14:paraId="12D19F77" w14:textId="36B790E9" w:rsidR="00000000" w:rsidRDefault="00000000">
            <w:pPr>
              <w:jc w:val="center"/>
            </w:pPr>
            <w:r>
              <w:t>20</w:t>
            </w:r>
            <w:r w:rsidR="006F4973">
              <w:t>26</w:t>
            </w:r>
            <w:r>
              <w:t>. ősz</w:t>
            </w:r>
          </w:p>
          <w:p w14:paraId="0EDF46D7" w14:textId="77777777" w:rsidR="00000000" w:rsidRDefault="00000000">
            <w:pPr>
              <w:jc w:val="center"/>
            </w:pPr>
          </w:p>
          <w:p w14:paraId="26AD58D5" w14:textId="77777777" w:rsidR="00000000" w:rsidRDefault="00000000">
            <w:pPr>
              <w:jc w:val="center"/>
            </w:pPr>
            <w:r>
              <w:rPr>
                <w:b/>
                <w:bCs/>
              </w:rPr>
              <w:t>KURZUSLEÍRÁS</w:t>
            </w:r>
          </w:p>
          <w:p w14:paraId="6335BC18" w14:textId="77777777" w:rsidR="00000000" w:rsidRDefault="00000000">
            <w:pPr>
              <w:jc w:val="both"/>
            </w:pPr>
          </w:p>
          <w:p w14:paraId="288FEE43" w14:textId="065E42F5" w:rsidR="00D327B1" w:rsidRPr="00D327B1" w:rsidRDefault="00D327B1" w:rsidP="00D327B1">
            <w:pPr>
              <w:ind w:firstLine="360"/>
              <w:jc w:val="both"/>
            </w:pPr>
            <w:r w:rsidRPr="00D327B1">
              <w:t>A filozófiai művek megértésének egyik alapvető feltétele annak felismerése, hogy a filozófusok milyen érvekkel támasztják alá állításaikat. A filozófiai szövegek nem pusztán vélemények vagy egymással szemben álló álláspontok gyűjteményei: szerzőik meghatározott premisszákból kiindulva próbálnak eljutni bizonyos következtetésekhez. Egy filozófiai álláspont megértése ezért nem merül ki a konklúzió megismerésében; azt is vizsgálni kell, hogy milyen érvelési lépések vezetnek hozzá, mennyiben megalapozottak ezek, és milyen lehetőségeink vannak az érvelés kritikájára</w:t>
            </w:r>
            <w:r>
              <w:t xml:space="preserve">, vagy éppen </w:t>
            </w:r>
            <w:r w:rsidR="00E63DE7">
              <w:t>k</w:t>
            </w:r>
            <w:r>
              <w:t>onklúzió</w:t>
            </w:r>
            <w:r w:rsidR="00E63DE7">
              <w:t>jának</w:t>
            </w:r>
            <w:r>
              <w:t xml:space="preserve"> további alátámasztására</w:t>
            </w:r>
            <w:r w:rsidRPr="00D327B1">
              <w:t>.</w:t>
            </w:r>
          </w:p>
          <w:p w14:paraId="34B44FD7" w14:textId="5ECBA186" w:rsidR="00D327B1" w:rsidRPr="00D327B1" w:rsidRDefault="00D327B1" w:rsidP="00D327B1">
            <w:pPr>
              <w:ind w:firstLine="360"/>
              <w:jc w:val="both"/>
            </w:pPr>
            <w:r w:rsidRPr="00D327B1">
              <w:t>A kurzus célja, hogy a hallgatók filozófiai szövegek elemzésén keresztül fejlesszék érvrekonstrukciós és kritikai készségeiket. A hangsúly nem elsősorban a hétköznapi kommunikációban előforduló érvelési hibák felismerésén van, hanem azon, hogy konkrét filozófiai érvelések szerkezetét feltárva megértsük: hogyan igazolják a filozófusok állításaikat, milyen előfeltevésekre támaszkodnak, és milyen pontokon lehet vitatni következtetéseiket.</w:t>
            </w:r>
          </w:p>
          <w:p w14:paraId="0467BA3C" w14:textId="7A07EB6B" w:rsidR="00D327B1" w:rsidRDefault="00E63DE7" w:rsidP="00D327B1">
            <w:pPr>
              <w:ind w:firstLine="360"/>
              <w:jc w:val="both"/>
            </w:pPr>
            <w:r>
              <w:t>M</w:t>
            </w:r>
            <w:r w:rsidR="00F04E00">
              <w:t xml:space="preserve">iután a helyes és az elfogadható következtetés fogalmaival megismerkedtünk, előbb </w:t>
            </w:r>
            <w:r w:rsidR="00F04E00">
              <w:t xml:space="preserve">egyszerűbb, majd igazi </w:t>
            </w:r>
            <w:r w:rsidR="00D327B1" w:rsidRPr="00D327B1">
              <w:t>filozófiai szövegeken gyakoroljuk az érvek azonosítását, a premisszák és konklúziók elkülönítését, az érvelési struktúrák rekonstrukcióját, valamint az érvek kritikai értékelését. A cél nem</w:t>
            </w:r>
            <w:r>
              <w:t xml:space="preserve"> csak</w:t>
            </w:r>
            <w:r w:rsidR="00D327B1" w:rsidRPr="00D327B1">
              <w:t xml:space="preserve"> az, hogy felismerjük, mikor hibás egy érvelés, hanem hogy képessé váljunk a filozófiai álláspontok belső logikájának megértésére és megalapozott bírálatára.</w:t>
            </w:r>
          </w:p>
          <w:p w14:paraId="73A082BC" w14:textId="3C9DE77D" w:rsidR="00F04E00" w:rsidRDefault="00F04E00" w:rsidP="00F04E00">
            <w:pPr>
              <w:ind w:firstLine="360"/>
              <w:jc w:val="both"/>
            </w:pPr>
          </w:p>
          <w:p w14:paraId="5DE8B2E1" w14:textId="77777777" w:rsidR="00000000" w:rsidRDefault="00000000">
            <w:pPr>
              <w:jc w:val="both"/>
            </w:pPr>
            <w:r>
              <w:rPr>
                <w:b/>
                <w:bCs/>
              </w:rPr>
              <w:t>Oktató</w:t>
            </w:r>
            <w:r>
              <w:t>: Hankovszky Tamás (</w:t>
            </w:r>
            <w:hyperlink r:id="rId4" w:history="1">
              <w:r>
                <w:rPr>
                  <w:rStyle w:val="Hiperhivatkozs"/>
                </w:rPr>
                <w:t>hankovszky@btk.ppke.hu</w:t>
              </w:r>
            </w:hyperlink>
            <w:r>
              <w:t>)</w:t>
            </w:r>
          </w:p>
          <w:p w14:paraId="43235640" w14:textId="44FA26DD" w:rsidR="00000000" w:rsidRDefault="00000000">
            <w:pPr>
              <w:ind w:left="709" w:hanging="709"/>
              <w:jc w:val="both"/>
            </w:pPr>
            <w:r>
              <w:rPr>
                <w:b/>
                <w:bCs/>
              </w:rPr>
              <w:t>Időpont</w:t>
            </w:r>
            <w:r>
              <w:t>: kedd 1</w:t>
            </w:r>
            <w:r w:rsidR="00F958ED">
              <w:t>6</w:t>
            </w:r>
            <w:r>
              <w:t>.15‒1</w:t>
            </w:r>
            <w:r w:rsidR="00F958ED">
              <w:t>7</w:t>
            </w:r>
            <w:r>
              <w:t>.45</w:t>
            </w:r>
          </w:p>
          <w:p w14:paraId="3DB0C066" w14:textId="6258DED2" w:rsidR="00000000" w:rsidRDefault="00000000">
            <w:pPr>
              <w:ind w:left="709" w:hanging="709"/>
              <w:jc w:val="both"/>
            </w:pPr>
            <w:r>
              <w:rPr>
                <w:b/>
                <w:bCs/>
              </w:rPr>
              <w:t>Hely</w:t>
            </w:r>
            <w:r>
              <w:t xml:space="preserve">: </w:t>
            </w:r>
            <w:r w:rsidR="00F958ED">
              <w:t>317</w:t>
            </w:r>
          </w:p>
          <w:p w14:paraId="40D1D927" w14:textId="77777777" w:rsidR="00000000" w:rsidRDefault="00000000"/>
          <w:p w14:paraId="4D848DAD" w14:textId="77777777" w:rsidR="00000000" w:rsidRDefault="00000000">
            <w:r>
              <w:rPr>
                <w:b/>
                <w:bCs/>
              </w:rPr>
              <w:t>Munkamódszer</w:t>
            </w:r>
          </w:p>
          <w:p w14:paraId="713BFDE3" w14:textId="77777777" w:rsidR="00000000" w:rsidRDefault="00000000">
            <w:pPr>
              <w:jc w:val="both"/>
            </w:pPr>
            <w:r>
              <w:t>A szeminárium a hallgatók otthoni és órai aktivitására épülő oktatási forma. Az órák a résztvevők tanári irányítással folyó beszélgetésével telnek. Így a foglalkozások látogatása és a csapatmunka elengedhetetlen.</w:t>
            </w:r>
          </w:p>
          <w:p w14:paraId="2587D7B7" w14:textId="77777777" w:rsidR="00000000" w:rsidRDefault="00000000">
            <w:pPr>
              <w:jc w:val="both"/>
            </w:pPr>
          </w:p>
          <w:p w14:paraId="676B50D5" w14:textId="77777777" w:rsidR="00000000" w:rsidRDefault="00000000">
            <w:r>
              <w:rPr>
                <w:b/>
                <w:bCs/>
              </w:rPr>
              <w:t>Követelmények</w:t>
            </w:r>
          </w:p>
          <w:p w14:paraId="2534D3E0" w14:textId="77777777" w:rsidR="00F04E00" w:rsidRDefault="00F04E00" w:rsidP="00F04E00">
            <w:pPr>
              <w:jc w:val="both"/>
            </w:pPr>
            <w:r>
              <w:rPr>
                <w:u w:val="single"/>
              </w:rPr>
              <w:t>Hiányzás</w:t>
            </w:r>
            <w:r>
              <w:t>: A szemináriumokon a részvétel kötelező. A maximális hiányzási lehetőség 4x45 perc. Ennél több hiányzás esetén a kurzusra nem jár aláírás (így jegy sem). „Igazolt” és „igazolatlan” hiányzás között nincs különbség.</w:t>
            </w:r>
          </w:p>
          <w:p w14:paraId="197FA69D" w14:textId="77777777" w:rsidR="00F04E00" w:rsidRDefault="00000000">
            <w:pPr>
              <w:jc w:val="both"/>
            </w:pPr>
            <w:r>
              <w:rPr>
                <w:u w:val="single"/>
              </w:rPr>
              <w:t>Értékelés</w:t>
            </w:r>
            <w:r>
              <w:t xml:space="preserve">: A hallgatók a félév végén aláírást és gyakorlati jegyet kaphatnak. A foglalkozásokon való </w:t>
            </w:r>
            <w:r>
              <w:rPr>
                <w:i/>
              </w:rPr>
              <w:t>aktív</w:t>
            </w:r>
            <w:r>
              <w:t xml:space="preserve"> részvétel mindegyiknek feltétele. </w:t>
            </w:r>
            <w:r w:rsidR="00F04E00">
              <w:t xml:space="preserve">Az értékelés az órai munka alapján történik. </w:t>
            </w:r>
          </w:p>
          <w:p w14:paraId="49A6996C" w14:textId="360F6676" w:rsidR="00F04E00" w:rsidRDefault="00F04E00" w:rsidP="00F04E00">
            <w:pPr>
              <w:jc w:val="both"/>
            </w:pPr>
            <w:r w:rsidRPr="00F427D8">
              <w:rPr>
                <w:u w:val="single"/>
              </w:rPr>
              <w:t>Javítási lehetőség</w:t>
            </w:r>
            <w:r>
              <w:t>: A félév utolsó hetében (de nem az óra időpontjában) írt ZH a</w:t>
            </w:r>
            <w:r w:rsidR="00F427D8">
              <w:t xml:space="preserve"> követ</w:t>
            </w:r>
            <w:r w:rsidR="0042405A">
              <w:t>k</w:t>
            </w:r>
            <w:r w:rsidR="00F427D8">
              <w:t>ező</w:t>
            </w:r>
            <w:r>
              <w:t xml:space="preserve"> mű anyagából: </w:t>
            </w:r>
            <w:r>
              <w:t xml:space="preserve">Zentai I. – Tóth O.: </w:t>
            </w:r>
            <w:hyperlink r:id="rId5" w:tooltip="http://mek.oszk.hu/05000/05035/index.phtml" w:history="1">
              <w:r>
                <w:rPr>
                  <w:rStyle w:val="Hiperhivatkozs"/>
                  <w:i/>
                  <w:iCs/>
                </w:rPr>
                <w:t>A meggyőzés csapdái</w:t>
              </w:r>
            </w:hyperlink>
            <w:r>
              <w:t xml:space="preserve">. </w:t>
            </w:r>
            <w:r>
              <w:rPr>
                <w:i/>
                <w:iCs/>
              </w:rPr>
              <w:t>Informális hibák és visszaélések a mindennapi meggyőzősben.</w:t>
            </w:r>
            <w:r>
              <w:t xml:space="preserve"> Budapest, </w:t>
            </w:r>
            <w:proofErr w:type="spellStart"/>
            <w:r>
              <w:t>Typotex</w:t>
            </w:r>
            <w:proofErr w:type="spellEnd"/>
            <w:r>
              <w:t>, 2002.</w:t>
            </w:r>
          </w:p>
          <w:p w14:paraId="1318A87F" w14:textId="77777777" w:rsidR="00000000" w:rsidRDefault="00000000"/>
          <w:p w14:paraId="3404D107" w14:textId="69CF8E05" w:rsidR="00000000" w:rsidRDefault="00000000">
            <w:pPr>
              <w:jc w:val="both"/>
            </w:pPr>
            <w:r>
              <w:rPr>
                <w:b/>
                <w:bCs/>
              </w:rPr>
              <w:t>Kötelező irodalom</w:t>
            </w:r>
            <w:r w:rsidR="00F427D8">
              <w:t xml:space="preserve"> </w:t>
            </w:r>
          </w:p>
          <w:p w14:paraId="505C1692" w14:textId="37DAD7B6" w:rsidR="00000000" w:rsidRDefault="00000000">
            <w:hyperlink r:id="rId6" w:tooltip="http://hankovszky.tamas.btk.ppke.hu/okta/ervfeladat.doc" w:history="1">
              <w:r>
                <w:rPr>
                  <w:rStyle w:val="Hiperhivatkozs"/>
                </w:rPr>
                <w:t>Gyakorló feladatok</w:t>
              </w:r>
            </w:hyperlink>
            <w:r>
              <w:t xml:space="preserve"> </w:t>
            </w:r>
          </w:p>
          <w:p w14:paraId="77DAC9F5" w14:textId="77777777" w:rsidR="00000000" w:rsidRDefault="00000000">
            <w:r>
              <w:rPr>
                <w:i/>
                <w:iCs/>
              </w:rPr>
              <w:t>A Leibniz – Clarke levelezés</w:t>
            </w:r>
            <w:r>
              <w:t xml:space="preserve">. Budapest, </w:t>
            </w:r>
            <w:proofErr w:type="spellStart"/>
            <w:r>
              <w:t>L’Harmattan</w:t>
            </w:r>
            <w:proofErr w:type="spellEnd"/>
            <w:r>
              <w:t xml:space="preserve"> – SZTE Filozófia Tanszék, 2005. </w:t>
            </w:r>
            <w:hyperlink r:id="rId7" w:tooltip="http://hankovszky.tamas.btk.ppke.hu/szgy/leibniz-clarke.doc" w:history="1">
              <w:r>
                <w:rPr>
                  <w:rStyle w:val="Hiperhivatkozs"/>
                </w:rPr>
                <w:t>szemelvények</w:t>
              </w:r>
            </w:hyperlink>
          </w:p>
          <w:p w14:paraId="1F82C3ED" w14:textId="77777777" w:rsidR="00000000" w:rsidRDefault="00000000">
            <w:hyperlink r:id="rId8" w:history="1">
              <w:r>
                <w:rPr>
                  <w:rStyle w:val="Hiperhivatkozs"/>
                </w:rPr>
                <w:t>https://namitgondo</w:t>
              </w:r>
              <w:r>
                <w:rPr>
                  <w:rStyle w:val="Hiperhivatkozs"/>
                </w:rPr>
                <w:t>l</w:t>
              </w:r>
              <w:r>
                <w:rPr>
                  <w:rStyle w:val="Hiperhivatkozs"/>
                </w:rPr>
                <w:t>sz.blog.hu/</w:t>
              </w:r>
            </w:hyperlink>
            <w:r>
              <w:t xml:space="preserve"> </w:t>
            </w:r>
          </w:p>
          <w:p w14:paraId="76A321C1" w14:textId="77777777" w:rsidR="00000000" w:rsidRDefault="00000000"/>
          <w:p w14:paraId="6B52CDF7" w14:textId="77777777" w:rsidR="00000000" w:rsidRDefault="00000000">
            <w:r>
              <w:rPr>
                <w:b/>
                <w:bCs/>
              </w:rPr>
              <w:t xml:space="preserve">Ajánlott irodalom </w:t>
            </w:r>
          </w:p>
          <w:p w14:paraId="62B46973" w14:textId="77777777" w:rsidR="00000000" w:rsidRDefault="00000000">
            <w:pPr>
              <w:ind w:left="284" w:hanging="284"/>
              <w:jc w:val="both"/>
            </w:pPr>
            <w:proofErr w:type="spellStart"/>
            <w:r>
              <w:t>Margitay</w:t>
            </w:r>
            <w:proofErr w:type="spellEnd"/>
            <w:r>
              <w:t xml:space="preserve"> T.: </w:t>
            </w:r>
            <w:hyperlink r:id="rId9" w:tooltip="https://dtk.tankonyvtar.hu/xmlui/handle/123456789/12973" w:history="1">
              <w:r>
                <w:rPr>
                  <w:rStyle w:val="Hiperhivatkozs"/>
                  <w:i/>
                  <w:iCs/>
                </w:rPr>
                <w:t>Az érvelés mestersége</w:t>
              </w:r>
            </w:hyperlink>
            <w:r>
              <w:t xml:space="preserve">. 2. javított kiadás. Budapest, </w:t>
            </w:r>
            <w:proofErr w:type="spellStart"/>
            <w:r>
              <w:t>Typotex</w:t>
            </w:r>
            <w:proofErr w:type="spellEnd"/>
            <w:r>
              <w:t xml:space="preserve">, 2007.  </w:t>
            </w:r>
          </w:p>
          <w:p w14:paraId="3E3E5032" w14:textId="77777777" w:rsidR="00000000" w:rsidRDefault="00000000">
            <w:pPr>
              <w:ind w:left="284" w:hanging="284"/>
              <w:jc w:val="both"/>
            </w:pPr>
            <w:r>
              <w:t xml:space="preserve">Forrai G. (szerk.): </w:t>
            </w:r>
            <w:hyperlink r:id="rId10" w:history="1">
              <w:r>
                <w:rPr>
                  <w:rStyle w:val="Hiperhivatkozs"/>
                  <w:i/>
                  <w:iCs/>
                </w:rPr>
                <w:t>Informális logika</w:t>
              </w:r>
            </w:hyperlink>
            <w:r>
              <w:t xml:space="preserve">. (digitális tankönyv) </w:t>
            </w:r>
          </w:p>
          <w:p w14:paraId="77976BD2" w14:textId="77777777" w:rsidR="00000000" w:rsidRDefault="00000000">
            <w:pPr>
              <w:ind w:left="284" w:hanging="284"/>
              <w:jc w:val="both"/>
            </w:pPr>
            <w:r>
              <w:t xml:space="preserve">Zentai I.: </w:t>
            </w:r>
            <w:r>
              <w:rPr>
                <w:i/>
                <w:iCs/>
              </w:rPr>
              <w:t>Meggyőzéstechnika és kritikai gondolkodás a mindennapi gyakorlatban</w:t>
            </w:r>
            <w:r>
              <w:t xml:space="preserve">. Budapest, Medicina, 2006. </w:t>
            </w:r>
          </w:p>
          <w:p w14:paraId="07105971" w14:textId="77777777" w:rsidR="00000000" w:rsidRDefault="00000000">
            <w:pPr>
              <w:ind w:left="284" w:hanging="284"/>
              <w:jc w:val="both"/>
            </w:pPr>
            <w:r>
              <w:t xml:space="preserve">Lakatos L.: </w:t>
            </w:r>
            <w:hyperlink r:id="rId11" w:tooltip="http://lakatos.free.fr/Tanitas/AT/at.html" w:history="1">
              <w:r>
                <w:rPr>
                  <w:rStyle w:val="Hiperhivatkozs"/>
                </w:rPr>
                <w:t>Érveléstechnika</w:t>
              </w:r>
            </w:hyperlink>
          </w:p>
          <w:p w14:paraId="19440B29" w14:textId="77777777" w:rsidR="00000000" w:rsidRDefault="00000000">
            <w:pPr>
              <w:ind w:left="284" w:hanging="284"/>
              <w:jc w:val="both"/>
            </w:pPr>
            <w:r>
              <w:t xml:space="preserve">Zentai I.: </w:t>
            </w:r>
            <w:hyperlink r:id="rId12" w:history="1">
              <w:r>
                <w:rPr>
                  <w:rStyle w:val="Hiperhivatkozs"/>
                  <w:i/>
                  <w:iCs/>
                </w:rPr>
                <w:t>A meggyőzés útjai</w:t>
              </w:r>
            </w:hyperlink>
            <w:r>
              <w:rPr>
                <w:i/>
                <w:iCs/>
              </w:rPr>
              <w:t>.</w:t>
            </w:r>
            <w:r>
              <w:t xml:space="preserve"> </w:t>
            </w:r>
            <w:r>
              <w:rPr>
                <w:i/>
                <w:iCs/>
              </w:rPr>
              <w:t>A mindennapi élet meggyőzéspszichológiája.</w:t>
            </w:r>
            <w:r>
              <w:t xml:space="preserve"> Budapest, </w:t>
            </w:r>
            <w:proofErr w:type="spellStart"/>
            <w:r>
              <w:t>Typotex</w:t>
            </w:r>
            <w:proofErr w:type="spellEnd"/>
            <w:r>
              <w:t xml:space="preserve">, 1998. </w:t>
            </w:r>
          </w:p>
          <w:p w14:paraId="626CE5D4" w14:textId="77777777" w:rsidR="00000000" w:rsidRDefault="00000000">
            <w:pPr>
              <w:ind w:left="284" w:hanging="284"/>
              <w:jc w:val="both"/>
            </w:pPr>
            <w:r>
              <w:rPr>
                <w:i/>
                <w:iCs/>
              </w:rPr>
              <w:lastRenderedPageBreak/>
              <w:t>Logika a mindennapi életben</w:t>
            </w:r>
            <w:r>
              <w:t xml:space="preserve">. </w:t>
            </w:r>
            <w:r>
              <w:rPr>
                <w:i/>
                <w:iCs/>
              </w:rPr>
              <w:t>A gyakorlati érvelés technikája</w:t>
            </w:r>
            <w:r>
              <w:t xml:space="preserve">. (Összeállította a BME Filozófia Tanszék kollektívája) [h. </w:t>
            </w:r>
            <w:proofErr w:type="spellStart"/>
            <w:r>
              <w:t>n.</w:t>
            </w:r>
            <w:proofErr w:type="spellEnd"/>
            <w:r>
              <w:t xml:space="preserve">] [k. </w:t>
            </w:r>
            <w:proofErr w:type="spellStart"/>
            <w:r>
              <w:t>n.</w:t>
            </w:r>
            <w:proofErr w:type="spellEnd"/>
            <w:r>
              <w:t xml:space="preserve">] [é. </w:t>
            </w:r>
            <w:proofErr w:type="spellStart"/>
            <w:r>
              <w:t>n.</w:t>
            </w:r>
            <w:proofErr w:type="spellEnd"/>
            <w:r>
              <w:t xml:space="preserve">] </w:t>
            </w:r>
          </w:p>
          <w:p w14:paraId="06B9F03A" w14:textId="77777777" w:rsidR="00000000" w:rsidRDefault="00000000">
            <w:pPr>
              <w:ind w:left="284" w:hanging="284"/>
              <w:jc w:val="both"/>
            </w:pPr>
            <w:proofErr w:type="spellStart"/>
            <w:r>
              <w:t>Aronson</w:t>
            </w:r>
            <w:proofErr w:type="spellEnd"/>
            <w:r>
              <w:t xml:space="preserve">, E. – </w:t>
            </w:r>
            <w:proofErr w:type="spellStart"/>
            <w:r>
              <w:t>Pratkanis</w:t>
            </w:r>
            <w:proofErr w:type="spellEnd"/>
            <w:r>
              <w:t xml:space="preserve">, A. R.: </w:t>
            </w:r>
            <w:r>
              <w:rPr>
                <w:i/>
                <w:iCs/>
              </w:rPr>
              <w:t>A rábeszélőgép.</w:t>
            </w:r>
            <w:r>
              <w:t xml:space="preserve"> </w:t>
            </w:r>
            <w:r>
              <w:rPr>
                <w:i/>
                <w:iCs/>
              </w:rPr>
              <w:t>Élni és visszaélni a meggyőzés mindennapos mesterségével.</w:t>
            </w:r>
            <w:r>
              <w:t xml:space="preserve"> Budapest, AB OVO, 1992. </w:t>
            </w:r>
          </w:p>
          <w:p w14:paraId="26419E5D" w14:textId="77777777" w:rsidR="00000000" w:rsidRDefault="00000000">
            <w:pPr>
              <w:ind w:left="284" w:hanging="284"/>
              <w:jc w:val="both"/>
            </w:pPr>
            <w:proofErr w:type="spellStart"/>
            <w:r>
              <w:t>Grice</w:t>
            </w:r>
            <w:proofErr w:type="spellEnd"/>
            <w:r>
              <w:t xml:space="preserve">, P. H.: </w:t>
            </w:r>
            <w:hyperlink r:id="rId13" w:history="1">
              <w:r>
                <w:rPr>
                  <w:rStyle w:val="Hiperhivatkozs"/>
                </w:rPr>
                <w:t>A társalgás logikája</w:t>
              </w:r>
            </w:hyperlink>
            <w:r>
              <w:rPr>
                <w:u w:val="single"/>
              </w:rPr>
              <w:t>.</w:t>
            </w:r>
            <w:r>
              <w:t xml:space="preserve"> In Pléh Cs. – Síklaki I. – </w:t>
            </w:r>
            <w:proofErr w:type="spellStart"/>
            <w:r>
              <w:t>Terescsényi</w:t>
            </w:r>
            <w:proofErr w:type="spellEnd"/>
            <w:r>
              <w:t xml:space="preserve"> T. [szerk.]: </w:t>
            </w:r>
            <w:hyperlink r:id="rId14" w:tooltip="https://www.szaktars.hu/osiris/view/pleh-csaba-siklaki-istvan-terestyeni-tamas-szerk-nyelv-kommunikacio-cselekves-osiris-tankonyvek-1997/" w:history="1">
              <w:r>
                <w:rPr>
                  <w:rStyle w:val="Hiperhivatkozs"/>
                  <w:i/>
                  <w:iCs/>
                </w:rPr>
                <w:t>Nyelv – kommunikáció - cselekvés</w:t>
              </w:r>
            </w:hyperlink>
            <w:r>
              <w:rPr>
                <w:i/>
                <w:iCs/>
              </w:rPr>
              <w:t>.</w:t>
            </w:r>
            <w:r>
              <w:t xml:space="preserve"> Budapest, Osiris, 1997. 213–227. </w:t>
            </w:r>
          </w:p>
          <w:p w14:paraId="3E651F97" w14:textId="77777777" w:rsidR="00000000" w:rsidRDefault="00000000">
            <w:pPr>
              <w:ind w:left="284" w:hanging="284"/>
              <w:jc w:val="both"/>
            </w:pPr>
            <w:r>
              <w:t xml:space="preserve">Breton, </w:t>
            </w:r>
            <w:proofErr w:type="spellStart"/>
            <w:r>
              <w:t>Ph</w:t>
            </w:r>
            <w:proofErr w:type="spellEnd"/>
            <w:r>
              <w:t xml:space="preserve">.: </w:t>
            </w:r>
            <w:r>
              <w:rPr>
                <w:i/>
                <w:iCs/>
              </w:rPr>
              <w:t>A manipulált beszéd</w:t>
            </w:r>
            <w:r>
              <w:t xml:space="preserve">. Budapest, Helikon, 2000. </w:t>
            </w:r>
          </w:p>
          <w:p w14:paraId="4879BA79" w14:textId="77777777" w:rsidR="00000000" w:rsidRDefault="00000000">
            <w:pPr>
              <w:ind w:left="284" w:hanging="284"/>
              <w:jc w:val="both"/>
            </w:pPr>
            <w:proofErr w:type="spellStart"/>
            <w:r>
              <w:t>Kutrovátz</w:t>
            </w:r>
            <w:proofErr w:type="spellEnd"/>
            <w:r>
              <w:t xml:space="preserve"> G.: </w:t>
            </w:r>
            <w:hyperlink r:id="rId15" w:tooltip="hps.elte.hu/~kutrovatz/logjegyz.pdf" w:history="1">
              <w:r>
                <w:rPr>
                  <w:rStyle w:val="Hiperhivatkozs"/>
                </w:rPr>
                <w:t>Bevezetés a logikába és az érveléselméletbe</w:t>
              </w:r>
            </w:hyperlink>
            <w:r>
              <w:t>. (Digitális tankönyv, ELTE)</w:t>
            </w:r>
          </w:p>
          <w:p w14:paraId="00F38CE7" w14:textId="77777777" w:rsidR="00000000" w:rsidRDefault="00000000">
            <w:pPr>
              <w:ind w:left="284" w:hanging="284"/>
              <w:jc w:val="both"/>
            </w:pPr>
            <w:hyperlink r:id="rId16" w:tooltip="http://mmi.elte.hu/szabadbolcseszet/mmi.elte.hu/szabadbolcseszet/index8910.html?option=com_tanelem&amp;id_tanelem=822&amp;tip=0" w:history="1">
              <w:r>
                <w:rPr>
                  <w:rStyle w:val="Hiperhivatkozs"/>
                </w:rPr>
                <w:t>Kijelentéslogika</w:t>
              </w:r>
            </w:hyperlink>
            <w:r>
              <w:t xml:space="preserve"> (Digitális tankönyv, ELTE) </w:t>
            </w:r>
          </w:p>
          <w:p w14:paraId="1A711E56" w14:textId="77777777" w:rsidR="00000000" w:rsidRDefault="00000000">
            <w:pPr>
              <w:ind w:left="284" w:hanging="284"/>
              <w:jc w:val="both"/>
            </w:pPr>
            <w:r>
              <w:t xml:space="preserve">Madarászné – </w:t>
            </w:r>
            <w:proofErr w:type="spellStart"/>
            <w:r>
              <w:t>Pólos</w:t>
            </w:r>
            <w:proofErr w:type="spellEnd"/>
            <w:r>
              <w:t xml:space="preserve"> L. – Ruzsa I.: </w:t>
            </w:r>
            <w:hyperlink r:id="rId17" w:tooltip="https://www.szaktars.hu/osiris/view/madarasz-tiborne-polos-laszlo-ruzsa-imre-a-logika-elemei-osiris-tankonyvek-1999/?pg=0&amp;layout=l" w:history="1">
              <w:r>
                <w:rPr>
                  <w:rStyle w:val="Hiperhivatkozs"/>
                  <w:i/>
                  <w:iCs/>
                </w:rPr>
                <w:t>A logika elemei</w:t>
              </w:r>
            </w:hyperlink>
            <w:r>
              <w:t>. Budapest, Osiris, 2006.</w:t>
            </w:r>
          </w:p>
        </w:tc>
      </w:tr>
    </w:tbl>
    <w:p w14:paraId="6946A9A7" w14:textId="77777777" w:rsidR="00696681" w:rsidRDefault="00696681"/>
    <w:sectPr w:rsidR="00696681">
      <w:pgSz w:w="11906" w:h="16838"/>
      <w:pgMar w:top="567" w:right="851" w:bottom="567" w:left="851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attachedTemplate r:id="rId1"/>
  <w:defaultTabStop w:val="708"/>
  <w:hyphenationZone w:val="420"/>
  <w:noPunctuationKerning/>
  <w:characterSpacingControl w:val="doNotCompress"/>
  <w:compat>
    <w:applyBreaking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73"/>
    <w:rsid w:val="000A4CC7"/>
    <w:rsid w:val="0042405A"/>
    <w:rsid w:val="005038A8"/>
    <w:rsid w:val="00696681"/>
    <w:rsid w:val="006E0E54"/>
    <w:rsid w:val="006F4973"/>
    <w:rsid w:val="00750FE3"/>
    <w:rsid w:val="0082499F"/>
    <w:rsid w:val="00D327B1"/>
    <w:rsid w:val="00D944CC"/>
    <w:rsid w:val="00E63DE7"/>
    <w:rsid w:val="00F04E00"/>
    <w:rsid w:val="00F0599E"/>
    <w:rsid w:val="00F427D8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A496C"/>
  <w15:chartTrackingRefBased/>
  <w15:docId w15:val="{720D8FB9-01E5-4808-A795-3919BFD9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link w:val="Cmsor2Char"/>
    <w:qFormat/>
    <w:pPr>
      <w:spacing w:before="100" w:beforeAutospacing="1" w:after="100" w:afterAutospacing="1"/>
      <w:outlineLvl w:val="1"/>
    </w:pPr>
    <w:rPr>
      <w:rFonts w:eastAsiaTheme="minorEastAsia"/>
      <w:b/>
      <w:bCs/>
      <w:sz w:val="28"/>
      <w:szCs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semiHidden/>
    <w:unhideWhenUsed/>
    <w:rPr>
      <w:color w:val="0000FF"/>
      <w:u w:val="single"/>
    </w:rPr>
  </w:style>
  <w:style w:type="character" w:styleId="Mrltotthiperhivatkozs">
    <w:name w:val="FollowedHyperlink"/>
    <w:basedOn w:val="Bekezdsalapbettpusa"/>
    <w:semiHidden/>
    <w:unhideWhenUsed/>
    <w:rPr>
      <w:color w:val="800080"/>
      <w:u w:val="single"/>
    </w:rPr>
  </w:style>
  <w:style w:type="character" w:customStyle="1" w:styleId="Cmsor2Char">
    <w:name w:val="Címsor 2 Char"/>
    <w:basedOn w:val="Bekezdsalapbettpusa"/>
    <w:link w:val="Cmsor2"/>
    <w:semiHidden/>
    <w:locked/>
    <w:rPr>
      <w:rFonts w:asciiTheme="majorHAnsi" w:eastAsiaTheme="majorEastAsia" w:hAnsiTheme="majorHAnsi" w:cstheme="majorBidi" w:hint="default"/>
      <w:color w:val="0F4761" w:themeColor="accent1" w:themeShade="BF"/>
      <w:sz w:val="26"/>
      <w:szCs w:val="26"/>
    </w:rPr>
  </w:style>
  <w:style w:type="paragraph" w:customStyle="1" w:styleId="msonormal0">
    <w:name w:val="msonormal"/>
    <w:basedOn w:val="Norml"/>
    <w:pPr>
      <w:spacing w:before="100" w:beforeAutospacing="1" w:after="100" w:afterAutospacing="1"/>
    </w:pPr>
    <w:rPr>
      <w:rFonts w:eastAsiaTheme="minorEastAsia"/>
    </w:rPr>
  </w:style>
  <w:style w:type="paragraph" w:styleId="lfej">
    <w:name w:val="header"/>
    <w:basedOn w:val="Norml"/>
    <w:link w:val="lfejChar"/>
    <w:semiHidden/>
    <w:unhideWhenUsed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locked/>
    <w:rPr>
      <w:sz w:val="24"/>
      <w:szCs w:val="24"/>
    </w:rPr>
  </w:style>
  <w:style w:type="paragraph" w:styleId="llb">
    <w:name w:val="footer"/>
    <w:basedOn w:val="Norml"/>
    <w:link w:val="llbChar"/>
    <w:semiHidden/>
    <w:unhideWhenUsed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locked/>
    <w:rPr>
      <w:sz w:val="24"/>
      <w:szCs w:val="24"/>
    </w:rPr>
  </w:style>
  <w:style w:type="paragraph" w:styleId="Szvegtrzs">
    <w:name w:val="Body Text"/>
    <w:basedOn w:val="Norml"/>
    <w:link w:val="SzvegtrzsChar"/>
    <w:semiHidden/>
    <w:unhideWhenUsed/>
  </w:style>
  <w:style w:type="character" w:customStyle="1" w:styleId="SzvegtrzsChar">
    <w:name w:val="Szövegtörzs Char"/>
    <w:basedOn w:val="Bekezdsalapbettpusa"/>
    <w:link w:val="Szvegtrzs"/>
    <w:semiHidden/>
    <w:locked/>
    <w:rPr>
      <w:sz w:val="24"/>
      <w:szCs w:val="24"/>
    </w:rPr>
  </w:style>
  <w:style w:type="paragraph" w:customStyle="1" w:styleId="western">
    <w:name w:val="western"/>
    <w:basedOn w:val="Norml"/>
    <w:semiHidden/>
  </w:style>
  <w:style w:type="paragraph" w:customStyle="1" w:styleId="ww-html-kntformzott">
    <w:name w:val="ww-html-kntformzott"/>
    <w:basedOn w:val="Norml"/>
    <w:semiHidden/>
  </w:style>
  <w:style w:type="character" w:customStyle="1" w:styleId="keretesures-alcim121">
    <w:name w:val="keretesures-alcim121"/>
    <w:basedOn w:val="Bekezdsalapbettpusa"/>
  </w:style>
  <w:style w:type="table" w:styleId="Rcsostblzat">
    <w:name w:val="Table Grid"/>
    <w:basedOn w:val="Normltblzat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itgondolsz.blog.hu/" TargetMode="External"/><Relationship Id="rId13" Type="http://schemas.openxmlformats.org/officeDocument/2006/relationships/hyperlink" Target="http://philosophy.elte.hu/zvolenszky/grice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hankovszky.tamas.btk.ppke.hu/szgy/leibniz-clarke.doc" TargetMode="External"/><Relationship Id="rId12" Type="http://schemas.openxmlformats.org/officeDocument/2006/relationships/hyperlink" Target="http://mek.oszk.hu/05000/05034/index.phtml" TargetMode="External"/><Relationship Id="rId17" Type="http://schemas.openxmlformats.org/officeDocument/2006/relationships/hyperlink" Target="https://www.szaktars.hu/osiris/view/madarasz-tiborne-polos-laszlo-ruzsa-imre-a-logika-elemei-osiris-tankonyvek-1999/?pg=0&amp;layout=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mi.elte.hu/szabadbolcseszet/mmi.elte.hu/szabadbolcseszet/index8910.html?option=com_tanelem&amp;id_tanelem=822&amp;tip=0" TargetMode="External"/><Relationship Id="rId1" Type="http://schemas.openxmlformats.org/officeDocument/2006/relationships/styles" Target="styles.xml"/><Relationship Id="rId6" Type="http://schemas.openxmlformats.org/officeDocument/2006/relationships/hyperlink" Target="http://hankovszky.tamas.btk.ppke.hu/okta/ervfeladat.doc" TargetMode="External"/><Relationship Id="rId11" Type="http://schemas.openxmlformats.org/officeDocument/2006/relationships/hyperlink" Target="http://lakatos.free.fr/Tanitas/AT/at.html" TargetMode="External"/><Relationship Id="rId5" Type="http://schemas.openxmlformats.org/officeDocument/2006/relationships/hyperlink" Target="http://mek.oszk.hu/05000/05035/index.phtml" TargetMode="External"/><Relationship Id="rId15" Type="http://schemas.openxmlformats.org/officeDocument/2006/relationships/hyperlink" Target="http://hps.elte.hu/~kutrovatz/logjegyz.pdf" TargetMode="External"/><Relationship Id="rId10" Type="http://schemas.openxmlformats.org/officeDocument/2006/relationships/hyperlink" Target="http://www.uni-miskolc.hu/~bolantro/informalis/tartalom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hankovszky@btk.ppke.hu" TargetMode="External"/><Relationship Id="rId9" Type="http://schemas.openxmlformats.org/officeDocument/2006/relationships/hyperlink" Target="https://dtk.tankonyvtar.hu/xmlui/handle/123456789/12973" TargetMode="External"/><Relationship Id="rId14" Type="http://schemas.openxmlformats.org/officeDocument/2006/relationships/hyperlink" Target="https://www.szaktars.hu/osiris/view/pleh-csaba-siklaki-istvan-terestyeni-tamas-szerk-nyelv-kommunikacio-cselekves-osiris-tankonyvek-1997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Hankovszky Tamás</vt:lpstr>
    </vt:vector>
  </TitlesOfParts>
  <Company>Microsoft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Hankovszky Tamás</dc:title>
  <dc:subject/>
  <dc:creator>Hankovszky Tamás</dc:creator>
  <cp:keywords/>
  <dc:description/>
  <cp:lastModifiedBy>Hankovszky Tamás</cp:lastModifiedBy>
  <cp:revision>2</cp:revision>
  <dcterms:created xsi:type="dcterms:W3CDTF">2026-07-31T15:36:00Z</dcterms:created>
  <dcterms:modified xsi:type="dcterms:W3CDTF">2026-07-31T15:36:00Z</dcterms:modified>
</cp:coreProperties>
</file>