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781"/>
      </w:tblGrid>
      <w:tr w:rsidR="00230A01" w14:paraId="4059F927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3F3EECC" w14:textId="77777777" w:rsidR="00230A01" w:rsidRDefault="00000000">
            <w:pPr>
              <w:jc w:val="center"/>
            </w:pPr>
            <w:r>
              <w:t xml:space="preserve">Logikai fogalmak, bizonyítások és paradoxonok </w:t>
            </w:r>
          </w:p>
          <w:p w14:paraId="401CB033" w14:textId="77777777" w:rsidR="00230A01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Kripke</w:t>
            </w:r>
            <w:proofErr w:type="spellEnd"/>
            <w:r>
              <w:rPr>
                <w:b/>
                <w:bCs/>
              </w:rPr>
              <w:t>: Megnevezés és szükségszerűség</w:t>
            </w:r>
          </w:p>
          <w:p w14:paraId="27A05A52" w14:textId="77777777" w:rsidR="00230A01" w:rsidRDefault="00000000">
            <w:pPr>
              <w:jc w:val="center"/>
            </w:pPr>
            <w:r>
              <w:t>Szövegolvasó szeminárium, BMNSF06600M</w:t>
            </w:r>
          </w:p>
          <w:p w14:paraId="4DB5C272" w14:textId="77777777" w:rsidR="00230A01" w:rsidRDefault="00000000">
            <w:pPr>
              <w:jc w:val="center"/>
            </w:pPr>
            <w:r>
              <w:t>2026. tavasz</w:t>
            </w:r>
          </w:p>
          <w:p w14:paraId="50F17444" w14:textId="77777777" w:rsidR="00230A01" w:rsidRDefault="00230A01">
            <w:pPr>
              <w:jc w:val="center"/>
            </w:pPr>
          </w:p>
          <w:p w14:paraId="5A064146" w14:textId="77777777" w:rsidR="00230A01" w:rsidRDefault="00000000">
            <w:pPr>
              <w:pStyle w:val="Szvegtrzs"/>
              <w:jc w:val="center"/>
            </w:pPr>
            <w:r>
              <w:rPr>
                <w:b/>
                <w:bCs/>
              </w:rPr>
              <w:t>KURZUSLEÍRÁS</w:t>
            </w:r>
          </w:p>
          <w:p w14:paraId="3D02FBD6" w14:textId="77777777" w:rsidR="00230A01" w:rsidRDefault="00230A01">
            <w:pPr>
              <w:pStyle w:val="Szvegtrzs"/>
              <w:jc w:val="center"/>
            </w:pPr>
          </w:p>
          <w:p w14:paraId="36841FAD" w14:textId="77777777" w:rsidR="00230A01" w:rsidRDefault="00230A01">
            <w:pPr>
              <w:pStyle w:val="Szvegtrzs"/>
            </w:pPr>
          </w:p>
          <w:p w14:paraId="05C00F03" w14:textId="77777777" w:rsidR="00230A01" w:rsidRDefault="00000000">
            <w:pPr>
              <w:jc w:val="both"/>
            </w:pPr>
            <w:r>
              <w:rPr>
                <w:b/>
                <w:bCs/>
              </w:rPr>
              <w:t>Oktató</w:t>
            </w:r>
            <w:r>
              <w:t>: Hankovszky Tamás (</w:t>
            </w:r>
            <w:proofErr w:type="spellStart"/>
            <w:r>
              <w:fldChar w:fldCharType="begin"/>
            </w:r>
            <w:r>
              <w:instrText>HYPERLINK "mailto:hankovszky@btk.ppke.hu"</w:instrText>
            </w:r>
            <w:r>
              <w:fldChar w:fldCharType="separate"/>
            </w:r>
            <w:r>
              <w:rPr>
                <w:rStyle w:val="Hiperhivatkozs"/>
              </w:rPr>
              <w:t>hankovszky@btk.ppke.hu</w:t>
            </w:r>
            <w:proofErr w:type="spellEnd"/>
            <w:r>
              <w:fldChar w:fldCharType="end"/>
            </w:r>
            <w:r>
              <w:t>)</w:t>
            </w:r>
          </w:p>
          <w:p w14:paraId="340C8D6E" w14:textId="77777777" w:rsidR="00230A01" w:rsidRDefault="00000000">
            <w:pPr>
              <w:jc w:val="both"/>
            </w:pPr>
            <w:r>
              <w:rPr>
                <w:b/>
                <w:bCs/>
              </w:rPr>
              <w:t>Időpont</w:t>
            </w:r>
            <w:r>
              <w:t>: szerda 10.15‒11.45</w:t>
            </w:r>
          </w:p>
          <w:p w14:paraId="609A764C" w14:textId="77777777" w:rsidR="00230A01" w:rsidRDefault="00000000">
            <w:r>
              <w:rPr>
                <w:b/>
                <w:bCs/>
              </w:rPr>
              <w:t>Hely</w:t>
            </w:r>
            <w:r>
              <w:t>: 302</w:t>
            </w:r>
          </w:p>
          <w:p w14:paraId="20B92A70" w14:textId="77777777" w:rsidR="00230A01" w:rsidRDefault="00230A01">
            <w:pPr>
              <w:jc w:val="center"/>
            </w:pPr>
          </w:p>
          <w:p w14:paraId="7A9DC295" w14:textId="77777777" w:rsidR="00230A01" w:rsidRDefault="00000000">
            <w:pPr>
              <w:pStyle w:val="Szvegtrzs"/>
            </w:pPr>
            <w:r>
              <w:rPr>
                <w:b/>
                <w:bCs/>
              </w:rPr>
              <w:t>Munkamódszer</w:t>
            </w:r>
          </w:p>
          <w:p w14:paraId="113EBB4D" w14:textId="77777777" w:rsidR="00230A01" w:rsidRDefault="00000000">
            <w:pPr>
              <w:pStyle w:val="Szvegtrzs"/>
              <w:jc w:val="both"/>
            </w:pPr>
            <w:r>
              <w:t xml:space="preserve">A szeminárium a hallgatók otthoni és órai aktivitására épülő oktatási forma. Az órák a résztvevők tanári irányítással folyó beszélgetéseként valósulnak meg. Így a foglalkozások látogatása, a csapatmunka és a hétről-hétre való készülés elengedhetetlen. Az egyes órákon 10-12 oldalas szövegeket tekintünk át, ezek azonban rövidségük ellenére is alig-alig lesznek feldolgozhatók a másfél óra alatt. (Hogy mennyire, az a hallgatók felkészültségétől függ.) Minden órát azzal kezdünk, hogy a kijelölt szöveg gondolati egységeit elkülönítjük egymástól, és minden egységgel kapcsolatban megpróbálunk válaszolni három alapvető kérdésre. 1. Miről szól (mi lehetne a címe)? 2. Mit állít azzal kapcsolatban, amiről szól? 3. Miért fontos ez az állítás a szöveg által megvalósítani kívánt projekt szempontjából? Ezért az órára való készülés terjedjen ki a szöveg tagolására és e kérdések megválaszolására. A felkészülést és az órai munkát egy </w:t>
            </w:r>
            <w:hyperlink r:id="rId4" w:tooltip="http://hankovszky.tamas.btk.ppke.hu/okta/kripke-kerd.doc" w:history="1">
              <w:r>
                <w:rPr>
                  <w:rStyle w:val="Hiperhivatkozs"/>
                </w:rPr>
                <w:t>feladatlap</w:t>
              </w:r>
            </w:hyperlink>
            <w:r>
              <w:t xml:space="preserve"> is segíti. A foglalkozásra a kijelölt szöveget és a feladatlapot mindenki kinyomtatva hozza magával! Telefonon, tableten hozott szöveg nem megfelelő.</w:t>
            </w:r>
          </w:p>
          <w:p w14:paraId="2EA4457A" w14:textId="77777777" w:rsidR="00230A01" w:rsidRDefault="00230A01">
            <w:pPr>
              <w:jc w:val="both"/>
            </w:pPr>
          </w:p>
          <w:p w14:paraId="6F0A1E40" w14:textId="77777777" w:rsidR="00230A01" w:rsidRDefault="00000000">
            <w:pPr>
              <w:pStyle w:val="ww-html-kntformzott"/>
            </w:pPr>
            <w:r>
              <w:rPr>
                <w:b/>
                <w:bCs/>
              </w:rPr>
              <w:t>Alapszöveg</w:t>
            </w:r>
          </w:p>
          <w:p w14:paraId="723781A5" w14:textId="77777777" w:rsidR="00230A01" w:rsidRDefault="00000000">
            <w:pPr>
              <w:jc w:val="both"/>
            </w:pPr>
            <w:r>
              <w:t xml:space="preserve">Saul </w:t>
            </w:r>
            <w:proofErr w:type="spellStart"/>
            <w:r>
              <w:t>Kripke</w:t>
            </w:r>
            <w:proofErr w:type="spellEnd"/>
            <w:r>
              <w:t xml:space="preserve">: </w:t>
            </w:r>
            <w:hyperlink r:id="rId5" w:tooltip="http://hankovszky.tamas.btk.ppke.hu/szgy/kripke.doc" w:history="1">
              <w:r>
                <w:rPr>
                  <w:rStyle w:val="Hiperhivatkozs"/>
                  <w:i/>
                </w:rPr>
                <w:t>Megnevezés és szükségszerűség</w:t>
              </w:r>
            </w:hyperlink>
            <w:r>
              <w:t>. (ford. Bárány Tibor) Budapest, Akadémiai, 2007.</w:t>
            </w:r>
          </w:p>
          <w:p w14:paraId="567595A5" w14:textId="77777777" w:rsidR="00230A01" w:rsidRDefault="00000000">
            <w:pPr>
              <w:jc w:val="both"/>
            </w:pPr>
            <w:r>
              <w:t xml:space="preserve">Saul </w:t>
            </w:r>
            <w:proofErr w:type="spellStart"/>
            <w:r>
              <w:t>Kripke</w:t>
            </w:r>
            <w:proofErr w:type="spellEnd"/>
            <w:r>
              <w:t xml:space="preserve">: </w:t>
            </w:r>
            <w:hyperlink r:id="rId6" w:tooltip="http://socialistica.lenin.ru/analytic/txt/k/kripke_1.htm" w:history="1">
              <w:proofErr w:type="spellStart"/>
              <w:r>
                <w:rPr>
                  <w:rStyle w:val="Hiperhivatkozs"/>
                  <w:i/>
                </w:rPr>
                <w:t>Naming</w:t>
              </w:r>
              <w:proofErr w:type="spellEnd"/>
              <w:r>
                <w:rPr>
                  <w:rStyle w:val="Hiperhivatkozs"/>
                  <w:i/>
                </w:rPr>
                <w:t xml:space="preserve"> and </w:t>
              </w:r>
              <w:proofErr w:type="spellStart"/>
              <w:r>
                <w:rPr>
                  <w:rStyle w:val="Hiperhivatkozs"/>
                  <w:i/>
                </w:rPr>
                <w:t>Necessity</w:t>
              </w:r>
              <w:proofErr w:type="spellEnd"/>
            </w:hyperlink>
          </w:p>
          <w:p w14:paraId="77FABAC6" w14:textId="77777777" w:rsidR="00230A01" w:rsidRDefault="00230A01">
            <w:pPr>
              <w:jc w:val="both"/>
              <w:rPr>
                <w:b/>
                <w:bCs/>
              </w:rPr>
            </w:pPr>
          </w:p>
          <w:p w14:paraId="68DC23FB" w14:textId="77777777" w:rsidR="00230A01" w:rsidRDefault="00000000">
            <w:pPr>
              <w:jc w:val="both"/>
            </w:pPr>
            <w:r>
              <w:rPr>
                <w:b/>
                <w:bCs/>
              </w:rPr>
              <w:t>Követelmények</w:t>
            </w:r>
          </w:p>
          <w:p w14:paraId="605D3D4E" w14:textId="77777777" w:rsidR="00230A01" w:rsidRDefault="00000000">
            <w:pPr>
              <w:jc w:val="both"/>
            </w:pPr>
            <w:r>
              <w:t>A hallgatók a félév végén aláírást és gyakorlati jegyet kaphatnak. A foglalkozásokon való aktív részvétel mindegyiknek feltétele. A gyakorlati jegyet a minidolgozatok (A+B), és az otthoni készülésre épülő órai munka határozzák meg. Ha ezek közül bármelyik elégtelen, a félév végi jegy is elégtelen.</w:t>
            </w:r>
          </w:p>
          <w:p w14:paraId="7405D377" w14:textId="77777777" w:rsidR="00230A01" w:rsidRDefault="00000000">
            <w:pPr>
              <w:jc w:val="both"/>
            </w:pPr>
            <w:r>
              <w:rPr>
                <w:u w:val="single"/>
              </w:rPr>
              <w:t>Hiányzás</w:t>
            </w:r>
            <w:r>
              <w:t xml:space="preserve"> A szemináriumokon a részvétel kötelező. A maximális hiányzási lehetőség 4x45 perc. Ennél több hiányzás esetén a kurzusra nem jár aláírás (így jegy sem). „Igazolt” és „igazolatlan” hiányzás között nincs különbség. </w:t>
            </w:r>
          </w:p>
          <w:p w14:paraId="1E8E7F48" w14:textId="4D3B7606" w:rsidR="00230A01" w:rsidRDefault="00000000">
            <w:pPr>
              <w:jc w:val="both"/>
            </w:pPr>
            <w:r>
              <w:rPr>
                <w:u w:val="single"/>
              </w:rPr>
              <w:t>Minidolgozat</w:t>
            </w:r>
            <w:r w:rsidR="000508DD">
              <w:rPr>
                <w:u w:val="single"/>
              </w:rPr>
              <w:t>-</w:t>
            </w:r>
            <w:r>
              <w:rPr>
                <w:u w:val="single"/>
              </w:rPr>
              <w:t>A.</w:t>
            </w:r>
            <w:r>
              <w:t xml:space="preserve"> Minden órára minidolgozat</w:t>
            </w:r>
            <w:r w:rsidR="000508DD">
              <w:t>-</w:t>
            </w:r>
            <w:r>
              <w:t xml:space="preserve">A-t kell írni. A feladat az adott órára kijelölt szövegre vonatkozó sorokkal folyamatosan bővülő tartalomjegyzék formájában rekonstruálni </w:t>
            </w:r>
            <w:proofErr w:type="spellStart"/>
            <w:r>
              <w:t>Kripke</w:t>
            </w:r>
            <w:proofErr w:type="spellEnd"/>
            <w:r>
              <w:t xml:space="preserve"> könyvét, tehát megállapítani, milyen fő fejezetekre oszlik, azoknak milyen alfejezetei (esetleg </w:t>
            </w:r>
            <w:proofErr w:type="spellStart"/>
            <w:r>
              <w:t>exkurzusai</w:t>
            </w:r>
            <w:proofErr w:type="spellEnd"/>
            <w:r>
              <w:t xml:space="preserve">) vannak, milyen alfejezetei vannak az alfejezeteknek, és így tovább egészen az egy bekezdésnyi egységekig. Minden egységnek legyen címe, és derüljön ki, melyik oldal hányadik bekezdésénél kezdődik. (Tehát </w:t>
            </w:r>
            <w:r>
              <w:rPr>
                <w:i/>
              </w:rPr>
              <w:t>minden bekezdésnek feleljen meg egy külön sor/mondat</w:t>
            </w:r>
            <w:r>
              <w:t xml:space="preserve">, de a tartalomjegyzék álljon több sorból, mint ahány bekezdés van a szövegben, hiszen a több bekezdésből álló egységek címe is egy külön sor, és az ilyen egységekből képzett egységek is külön címet kapnak stb.) </w:t>
            </w:r>
          </w:p>
          <w:p w14:paraId="5BB5BB28" w14:textId="77777777" w:rsidR="00230A01" w:rsidRDefault="00000000">
            <w:pPr>
              <w:jc w:val="both"/>
            </w:pPr>
            <w:r>
              <w:t xml:space="preserve">A tartalomjegyzék annyiban legyen különleges, hogy a bekezdések címei </w:t>
            </w:r>
            <w:r>
              <w:rPr>
                <w:i/>
                <w:iCs/>
              </w:rPr>
              <w:t>jellemzően</w:t>
            </w:r>
            <w:r>
              <w:t xml:space="preserve"> ne egyes szavak vagy szintagmák (pl. „leírásnyaláb-elmélet”, „első ellenvetés”) vagy „arról, </w:t>
            </w:r>
            <w:proofErr w:type="gramStart"/>
            <w:r>
              <w:t>hogy….</w:t>
            </w:r>
            <w:proofErr w:type="gramEnd"/>
            <w:r>
              <w:t xml:space="preserve">” jellegű félmondatok vagy kérdések pl. „hogyan lehet rögzíteni a referenciát?” legyenek, hanem a bekezdést találóan összegző, de mégis rövid teljes egész állítások, amolyan tételmondatok. A szövegben sok példa szerepel. A cím nem hivatkozhat a példára (pl. „az asztal példája”), hanem azt ragadja meg, miről szól a példa. (Néha persze erőltetett volna egész mondatokat íni, ilyenkor az iménti előírásokat rugalmasan kell kezelni.) Minden bejegyzés a lényeget emelje ki, úgy, hogy a tartalomjegyzék feltételezett olvasója, akkor is fel tudja idézni </w:t>
            </w:r>
            <w:proofErr w:type="spellStart"/>
            <w:r>
              <w:t>Kripke</w:t>
            </w:r>
            <w:proofErr w:type="spellEnd"/>
            <w:r>
              <w:t xml:space="preserve"> gondolatmenetét, ha a szöveget egy kicsit már elfelejtette.</w:t>
            </w:r>
          </w:p>
          <w:p w14:paraId="65D9CABD" w14:textId="06FBD9E5" w:rsidR="00230A01" w:rsidRDefault="00000000">
            <w:pPr>
              <w:jc w:val="both"/>
            </w:pPr>
            <w:r>
              <w:rPr>
                <w:u w:val="single"/>
              </w:rPr>
              <w:lastRenderedPageBreak/>
              <w:t>Minidolgozat</w:t>
            </w:r>
            <w:r w:rsidR="000508DD">
              <w:rPr>
                <w:u w:val="single"/>
              </w:rPr>
              <w:t>-</w:t>
            </w:r>
            <w:r>
              <w:rPr>
                <w:u w:val="single"/>
              </w:rPr>
              <w:t>B.</w:t>
            </w:r>
            <w:r>
              <w:t xml:space="preserve"> Időről-időre újra kell gondolni és beadni az addig elolvasott rész teljes tartalomjegyzékét. Az újonnan olvasottak fényében kiderülhet ugyanis, hogy egy bizonyos bekezdés korábban nem a megfelelő szintű fejezetként vagy nem a megfelelő címmel került be a tartalomjegyzékbe.</w:t>
            </w:r>
          </w:p>
          <w:p w14:paraId="6F43B35D" w14:textId="77777777" w:rsidR="00230A01" w:rsidRDefault="00000000">
            <w:pPr>
              <w:jc w:val="both"/>
            </w:pPr>
            <w:r>
              <w:t>Leadási határidő:</w:t>
            </w:r>
          </w:p>
          <w:p w14:paraId="1344D68C" w14:textId="77777777" w:rsidR="00230A01" w:rsidRDefault="00000000">
            <w:pPr>
              <w:ind w:firstLine="316"/>
              <w:jc w:val="both"/>
            </w:pPr>
            <w:r>
              <w:t>elektronikusan: az adott órát megelőző nap 22 óráig</w:t>
            </w:r>
          </w:p>
          <w:p w14:paraId="52E771BB" w14:textId="77777777" w:rsidR="00230A01" w:rsidRDefault="0000000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és</w:t>
            </w:r>
          </w:p>
          <w:p w14:paraId="1402E79B" w14:textId="77777777" w:rsidR="00230A01" w:rsidRDefault="00000000">
            <w:pPr>
              <w:ind w:firstLine="316"/>
              <w:jc w:val="both"/>
            </w:pPr>
            <w:r>
              <w:t>kinyomtatva: az adott óra elején</w:t>
            </w:r>
          </w:p>
          <w:p w14:paraId="4E7BE286" w14:textId="7AC8CC05" w:rsidR="00230A01" w:rsidRDefault="00000000">
            <w:pPr>
              <w:jc w:val="both"/>
            </w:pPr>
            <w:r>
              <w:t>A hiányzás vagy más ok miatt 3 minidolgozat</w:t>
            </w:r>
            <w:r w:rsidR="000508DD">
              <w:t>-</w:t>
            </w:r>
            <w:r>
              <w:t>A. mulasztható el. Minidolgozat</w:t>
            </w:r>
            <w:r w:rsidR="000508DD">
              <w:t>-</w:t>
            </w:r>
            <w:r>
              <w:t>B. egy sem mulasztható el, és legfeljebb egy hetet késhet. Ellenkező esetben a kurzusra nem jár aláírás (így jegy sem). A leadott minidolgozatnak el kell érnie egy bizonyos minőséget ahhoz, hogy ne számítsanak elmulasztottnak (hanem legalább elégtelennek).</w:t>
            </w:r>
          </w:p>
          <w:p w14:paraId="01AE17E2" w14:textId="389338ED" w:rsidR="00230A01" w:rsidRDefault="00000000">
            <w:pPr>
              <w:jc w:val="both"/>
            </w:pPr>
            <w:r>
              <w:rPr>
                <w:u w:val="single"/>
              </w:rPr>
              <w:t>Mesterséges intelligencia</w:t>
            </w:r>
            <w:r>
              <w:t xml:space="preserve">: A hallgatóktól elvárt tudományos munka során az MI-eszközök kiegészítő, támogató szerepben (pl. kutatási asszisztensként, tanulótársként), az </w:t>
            </w:r>
            <w:hyperlink r:id="rId7" w:history="1">
              <w:r>
                <w:rPr>
                  <w:rStyle w:val="Hiperhivatkozs"/>
                  <w:color w:val="1155CC"/>
                </w:rPr>
                <w:t>egyetem MI-ajánlásának</w:t>
              </w:r>
            </w:hyperlink>
            <w:r>
              <w:t xml:space="preserve"> 1. és 2. kategóriája szerint alkalmazhatók, vagyis nem helyettesíthetik az egyéni kreativitást, döntéshozatalt, elemzőképességet és nem léphetnek a hallgatói munka helyébe. A hallgatóknak minden esetben őszintén kell kommunikálniuk az MI-használatról: a </w:t>
            </w:r>
            <w:hyperlink r:id="rId8" w:history="1">
              <w:r>
                <w:rPr>
                  <w:rStyle w:val="Hiperhivatkozs"/>
                  <w:color w:val="1155CC"/>
                </w:rPr>
                <w:t>TVSZ</w:t>
              </w:r>
            </w:hyperlink>
            <w:r>
              <w:t xml:space="preserve"> 33. § (18)-</w:t>
            </w:r>
            <w:proofErr w:type="spellStart"/>
            <w:r>
              <w:t>as</w:t>
            </w:r>
            <w:proofErr w:type="spellEnd"/>
            <w:r>
              <w:t xml:space="preserve"> bekezdése szerint</w:t>
            </w:r>
            <w:r w:rsidR="000508DD">
              <w:t xml:space="preserve">. </w:t>
            </w:r>
            <w:r>
              <w:t>Az MI által generált tartalom közvetlen átvétele és annak saját munkaként való feltüntetése, a támogatott használattal kapcsolatos dokumentációs kötelezettség elmulasztása, valamint a valótlan tartalmú nyilatkozattétel a plágiummal azonos megítélés alá esik.</w:t>
            </w:r>
          </w:p>
          <w:p w14:paraId="0ED6ED7B" w14:textId="77777777" w:rsidR="00230A01" w:rsidRDefault="00230A01">
            <w:pPr>
              <w:rPr>
                <w:b/>
              </w:rPr>
            </w:pPr>
          </w:p>
          <w:p w14:paraId="666139E3" w14:textId="77777777" w:rsidR="00230A01" w:rsidRDefault="00000000">
            <w:pPr>
              <w:rPr>
                <w:b/>
              </w:rPr>
            </w:pPr>
            <w:hyperlink r:id="rId9" w:tooltip="http://hankovszky.tamas.btk.ppke.hu/okta/kripke-kerd.doc" w:history="1">
              <w:r>
                <w:rPr>
                  <w:rStyle w:val="Hiperhivatkozs"/>
                  <w:b/>
                </w:rPr>
                <w:t>Feladatlap</w:t>
              </w:r>
            </w:hyperlink>
          </w:p>
          <w:p w14:paraId="3AF69EC5" w14:textId="77777777" w:rsidR="00230A01" w:rsidRDefault="00230A01">
            <w:pPr>
              <w:jc w:val="both"/>
            </w:pPr>
          </w:p>
          <w:p w14:paraId="2235B539" w14:textId="77777777" w:rsidR="00230A01" w:rsidRDefault="00000000">
            <w:pPr>
              <w:jc w:val="both"/>
            </w:pPr>
            <w:r>
              <w:rPr>
                <w:b/>
                <w:bCs/>
              </w:rPr>
              <w:t>A tervezett menetrend</w:t>
            </w:r>
          </w:p>
          <w:p w14:paraId="01761464" w14:textId="77777777" w:rsidR="00230A01" w:rsidRDefault="00000000">
            <w:pPr>
              <w:jc w:val="both"/>
            </w:pPr>
            <w:r>
              <w:t xml:space="preserve">Az időbeosztás és az olvasnivalók a félév folyamán változhatnak. Ezért az órákra való készülést ajánlott mindig a kurzus honlapjának felkeresésével kezdeni. </w:t>
            </w:r>
          </w:p>
          <w:p w14:paraId="29F8FB26" w14:textId="77777777" w:rsidR="00230A01" w:rsidRDefault="00230A01">
            <w:pPr>
              <w:jc w:val="both"/>
            </w:pPr>
          </w:p>
          <w:tbl>
            <w:tblPr>
              <w:tblW w:w="71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5753"/>
            </w:tblGrid>
            <w:tr w:rsidR="00230A01" w14:paraId="063CDEAF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FC7AAD6" w14:textId="77777777" w:rsidR="00230A01" w:rsidRDefault="00000000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2.11.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9F1A467" w14:textId="77777777" w:rsidR="00230A01" w:rsidRDefault="00000000">
                  <w:pPr>
                    <w:jc w:val="both"/>
                  </w:pPr>
                  <w:r>
                    <w:t xml:space="preserve">Kurzusmegbeszélés, előgyakorlatok: </w:t>
                  </w:r>
                  <w:hyperlink r:id="rId10" w:tooltip="http://hankovszky.tamas.btk.ppke.hu/szgy/frege.doc" w:history="1">
                    <w:r>
                      <w:rPr>
                        <w:rStyle w:val="Hiperhivatkozs"/>
                      </w:rPr>
                      <w:t>szöveg</w:t>
                    </w:r>
                  </w:hyperlink>
                  <w:r>
                    <w:rPr>
                      <w:rStyle w:val="Hiperhivatkozs"/>
                      <w:u w:val="none"/>
                    </w:rPr>
                    <w:t xml:space="preserve">, </w:t>
                  </w:r>
                  <w:hyperlink r:id="rId11" w:tooltip="http://hankovszky.tamas.btk.ppke.hu/okta/kerd-frege1bek.doc" w:history="1">
                    <w:r>
                      <w:rPr>
                        <w:rStyle w:val="Hiperhivatkozs"/>
                      </w:rPr>
                      <w:t>kérdések</w:t>
                    </w:r>
                  </w:hyperlink>
                </w:p>
              </w:tc>
            </w:tr>
            <w:tr w:rsidR="00230A01" w14:paraId="364911BE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8379C30" w14:textId="77777777" w:rsidR="00230A01" w:rsidRDefault="00000000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2.18.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86FDB9E" w14:textId="77777777" w:rsidR="00230A01" w:rsidRDefault="00000000">
                  <w:pPr>
                    <w:jc w:val="both"/>
                  </w:pPr>
                  <w:r>
                    <w:t>9–19., 124–126., 131.</w:t>
                  </w:r>
                </w:p>
              </w:tc>
            </w:tr>
            <w:tr w:rsidR="00230A01" w14:paraId="695E86A0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C3A7B98" w14:textId="77777777" w:rsidR="00230A01" w:rsidRDefault="00000000">
                  <w:pPr>
                    <w:jc w:val="both"/>
                  </w:pPr>
                  <w:r>
                    <w:t>2.25.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AA43A54" w14:textId="77777777" w:rsidR="00230A01" w:rsidRDefault="00000000">
                  <w:pPr>
                    <w:jc w:val="both"/>
                  </w:pPr>
                  <w:r>
                    <w:t>19–30., 126–127.</w:t>
                  </w:r>
                </w:p>
              </w:tc>
            </w:tr>
            <w:tr w:rsidR="00230A01" w14:paraId="2BDBBAF0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A5F875B" w14:textId="77777777" w:rsidR="00230A01" w:rsidRDefault="00000000">
                  <w:pPr>
                    <w:jc w:val="both"/>
                  </w:pPr>
                  <w:r>
                    <w:t>3.4.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DD8A917" w14:textId="5363427A" w:rsidR="00230A01" w:rsidRDefault="00000000">
                  <w:r>
                    <w:t xml:space="preserve">30–42. </w:t>
                  </w:r>
                  <w:r>
                    <w:rPr>
                      <w:b/>
                      <w:bCs/>
                    </w:rPr>
                    <w:t>minidolgozat</w:t>
                  </w:r>
                  <w:r w:rsidR="000508DD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>B.</w:t>
                  </w:r>
                </w:p>
              </w:tc>
            </w:tr>
            <w:tr w:rsidR="00230A01" w14:paraId="5323E5D3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79F4C1A" w14:textId="77777777" w:rsidR="00230A01" w:rsidRDefault="00000000">
                  <w:pPr>
                    <w:jc w:val="both"/>
                  </w:pPr>
                  <w:r>
                    <w:t>3.11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5373CCA" w14:textId="77777777" w:rsidR="00230A01" w:rsidRDefault="00000000">
                  <w:pPr>
                    <w:jc w:val="both"/>
                  </w:pPr>
                  <w:r>
                    <w:t>42–54., 127–129.</w:t>
                  </w:r>
                </w:p>
              </w:tc>
            </w:tr>
            <w:tr w:rsidR="00230A01" w14:paraId="2429CD1E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334C4B1" w14:textId="77777777" w:rsidR="00230A01" w:rsidRDefault="00000000">
                  <w:pPr>
                    <w:jc w:val="both"/>
                  </w:pPr>
                  <w:r>
                    <w:t>3.18.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A6A8980" w14:textId="77777777" w:rsidR="00230A01" w:rsidRDefault="00000000">
                  <w:pPr>
                    <w:jc w:val="both"/>
                  </w:pPr>
                  <w:r>
                    <w:t>54–64.</w:t>
                  </w:r>
                </w:p>
              </w:tc>
            </w:tr>
            <w:tr w:rsidR="00230A01" w14:paraId="7C3A45D6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2AEB4AA" w14:textId="77777777" w:rsidR="00230A01" w:rsidRDefault="00000000">
                  <w:pPr>
                    <w:jc w:val="both"/>
                  </w:pPr>
                  <w:r>
                    <w:t>3.25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355C383" w14:textId="1489F1E3" w:rsidR="00230A01" w:rsidRDefault="00000000">
                  <w:pPr>
                    <w:jc w:val="both"/>
                    <w:rPr>
                      <w:b/>
                    </w:rPr>
                  </w:pPr>
                  <w:r>
                    <w:t>64–74., 129–130.</w:t>
                  </w:r>
                  <w:r>
                    <w:rPr>
                      <w:b/>
                      <w:bCs/>
                    </w:rPr>
                    <w:t xml:space="preserve"> minidolgozat</w:t>
                  </w:r>
                  <w:r w:rsidR="000508DD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>B.</w:t>
                  </w:r>
                </w:p>
              </w:tc>
            </w:tr>
            <w:tr w:rsidR="00230A01" w14:paraId="4251E56D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62962D5C" w14:textId="77777777" w:rsidR="00230A01" w:rsidRDefault="00000000">
                  <w:pPr>
                    <w:jc w:val="both"/>
                  </w:pPr>
                  <w:r>
                    <w:t>4.1.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656FDC3" w14:textId="77777777" w:rsidR="00230A01" w:rsidRDefault="0000000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szünet</w:t>
                  </w:r>
                  <w:r>
                    <w:t xml:space="preserve"> </w:t>
                  </w:r>
                </w:p>
              </w:tc>
            </w:tr>
            <w:tr w:rsidR="00230A01" w14:paraId="734809C6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ADB5A4B" w14:textId="77777777" w:rsidR="00230A01" w:rsidRDefault="00000000">
                  <w:pPr>
                    <w:jc w:val="both"/>
                  </w:pPr>
                  <w:r>
                    <w:t>4.8.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C23C4F7" w14:textId="77777777" w:rsidR="00230A01" w:rsidRDefault="0000000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szünet</w:t>
                  </w:r>
                </w:p>
              </w:tc>
            </w:tr>
            <w:tr w:rsidR="00230A01" w14:paraId="60AACE1B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DABED2A" w14:textId="77777777" w:rsidR="00230A01" w:rsidRDefault="00000000">
                  <w:pPr>
                    <w:jc w:val="both"/>
                  </w:pPr>
                  <w:r>
                    <w:t>4.15.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7B61E07" w14:textId="77777777" w:rsidR="00230A01" w:rsidRDefault="00000000">
                  <w:pPr>
                    <w:jc w:val="both"/>
                  </w:pPr>
                  <w:r>
                    <w:t>74–88. (89.)</w:t>
                  </w:r>
                </w:p>
              </w:tc>
            </w:tr>
            <w:tr w:rsidR="00230A01" w14:paraId="01D0FE2F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3B1BA4D" w14:textId="77777777" w:rsidR="00230A01" w:rsidRDefault="00000000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4.22.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444E34E" w14:textId="77777777" w:rsidR="00230A01" w:rsidRDefault="00000000">
                  <w:pPr>
                    <w:jc w:val="both"/>
                  </w:pPr>
                  <w:r>
                    <w:t>89–104.</w:t>
                  </w:r>
                </w:p>
              </w:tc>
            </w:tr>
            <w:tr w:rsidR="00230A01" w14:paraId="3857F85F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9B3F231" w14:textId="77777777" w:rsidR="00230A01" w:rsidRDefault="00000000">
                  <w:pPr>
                    <w:jc w:val="both"/>
                  </w:pPr>
                  <w:r>
                    <w:t>4.29.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75F2696" w14:textId="77777777" w:rsidR="00230A01" w:rsidRDefault="00000000">
                  <w:pPr>
                    <w:jc w:val="both"/>
                  </w:pPr>
                  <w:r>
                    <w:t xml:space="preserve">104–113. </w:t>
                  </w:r>
                </w:p>
              </w:tc>
            </w:tr>
            <w:tr w:rsidR="00230A01" w14:paraId="5BD7DDB6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1E030FA" w14:textId="77777777" w:rsidR="00230A01" w:rsidRDefault="00000000">
                  <w:pPr>
                    <w:jc w:val="both"/>
                  </w:pPr>
                  <w:r>
                    <w:t>5.6.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0C39FD8" w14:textId="314F3A8F" w:rsidR="00230A01" w:rsidRDefault="00000000">
                  <w:pPr>
                    <w:jc w:val="both"/>
                  </w:pPr>
                  <w:r>
                    <w:t xml:space="preserve">113–123. </w:t>
                  </w:r>
                  <w:r>
                    <w:rPr>
                      <w:b/>
                      <w:bCs/>
                    </w:rPr>
                    <w:t>minidolgozat</w:t>
                  </w:r>
                  <w:r w:rsidR="000508DD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>B.</w:t>
                  </w:r>
                </w:p>
              </w:tc>
            </w:tr>
            <w:tr w:rsidR="00230A01" w14:paraId="1D181C0E" w14:textId="77777777">
              <w:tc>
                <w:tcPr>
                  <w:tcW w:w="1364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03616A75" w14:textId="77777777" w:rsidR="00230A01" w:rsidRDefault="00000000">
                  <w:pPr>
                    <w:jc w:val="both"/>
                  </w:pPr>
                  <w:r>
                    <w:t>5.13</w:t>
                  </w:r>
                </w:p>
              </w:tc>
              <w:tc>
                <w:tcPr>
                  <w:tcW w:w="5753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B3DCE17" w14:textId="77777777" w:rsidR="00230A01" w:rsidRDefault="00000000">
                  <w:pPr>
                    <w:jc w:val="both"/>
                  </w:pPr>
                  <w:r>
                    <w:t>Értékelés</w:t>
                  </w:r>
                </w:p>
              </w:tc>
            </w:tr>
          </w:tbl>
          <w:p w14:paraId="40F8F471" w14:textId="77777777" w:rsidR="00230A01" w:rsidRDefault="00230A01">
            <w:pPr>
              <w:jc w:val="both"/>
            </w:pPr>
          </w:p>
          <w:p w14:paraId="29C66519" w14:textId="77777777" w:rsidR="00230A01" w:rsidRDefault="00000000">
            <w:r>
              <w:rPr>
                <w:b/>
              </w:rPr>
              <w:t>Irodalom</w:t>
            </w:r>
          </w:p>
          <w:p w14:paraId="3B2145F3" w14:textId="77777777" w:rsidR="00230A01" w:rsidRDefault="00000000">
            <w:pPr>
              <w:ind w:left="467" w:hanging="467"/>
              <w:jc w:val="both"/>
            </w:pPr>
            <w:r>
              <w:t xml:space="preserve">Lásd: Saul </w:t>
            </w:r>
            <w:proofErr w:type="spellStart"/>
            <w:r>
              <w:t>Kripke</w:t>
            </w:r>
            <w:proofErr w:type="spellEnd"/>
            <w:r>
              <w:t xml:space="preserve">: </w:t>
            </w:r>
            <w:r>
              <w:rPr>
                <w:i/>
              </w:rPr>
              <w:t>Megnevezés és szükségszerűség</w:t>
            </w:r>
            <w:r>
              <w:t>. Budapest, Akadémiai, 2007. 211–221.</w:t>
            </w:r>
          </w:p>
          <w:p w14:paraId="06855B44" w14:textId="77777777" w:rsidR="00230A01" w:rsidRDefault="00000000">
            <w:pPr>
              <w:ind w:left="467" w:hanging="467"/>
              <w:jc w:val="both"/>
            </w:pPr>
            <w:r>
              <w:t xml:space="preserve">Laki János: </w:t>
            </w:r>
            <w:hyperlink r:id="rId12" w:tooltip="https://www.szaktars.hu/osiris/view/neumer-katalin-szerk-nyelv-gondolkodas-relativizmus-osiris-konyvtar-pszichologia-1999/?pg=284&amp;layout=s" w:history="1">
              <w:r>
                <w:rPr>
                  <w:rStyle w:val="Hiperhivatkozs"/>
                </w:rPr>
                <w:t>Madár-e a denevér? – A természeti fajták természetessége</w:t>
              </w:r>
            </w:hyperlink>
            <w:r>
              <w:t xml:space="preserve">. In </w:t>
            </w:r>
            <w:proofErr w:type="spellStart"/>
            <w:r>
              <w:t>Neumer</w:t>
            </w:r>
            <w:proofErr w:type="spellEnd"/>
            <w:r>
              <w:t xml:space="preserve"> K. (szerk.) </w:t>
            </w:r>
            <w:r>
              <w:rPr>
                <w:i/>
              </w:rPr>
              <w:t>Nyelv, gondolkodás, relativizmus</w:t>
            </w:r>
            <w:r>
              <w:t>. Osiris Kiadó, Budapest, 1999. 283–322.</w:t>
            </w:r>
          </w:p>
          <w:p w14:paraId="450AE6F7" w14:textId="77777777" w:rsidR="00230A01" w:rsidRDefault="00000000">
            <w:pPr>
              <w:ind w:left="467" w:hanging="467"/>
              <w:jc w:val="both"/>
            </w:pPr>
            <w:r>
              <w:t xml:space="preserve">Kállay Géza: Jelentés és önazonosság. Saul </w:t>
            </w:r>
            <w:proofErr w:type="spellStart"/>
            <w:r>
              <w:t>Kripke</w:t>
            </w:r>
            <w:proofErr w:type="spellEnd"/>
            <w:r>
              <w:t xml:space="preserve"> névelméletéről. In Kállay G.: </w:t>
            </w:r>
            <w:r>
              <w:rPr>
                <w:i/>
              </w:rPr>
              <w:t>És most: Beszélj!</w:t>
            </w:r>
            <w:r>
              <w:t xml:space="preserve"> Budapest, Liget, 2013. 31–62.</w:t>
            </w:r>
          </w:p>
          <w:p w14:paraId="4E4B7276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Zvolenszky</w:t>
            </w:r>
            <w:proofErr w:type="spellEnd"/>
            <w:r>
              <w:t xml:space="preserve"> Zsófia – Bárány Tibor: </w:t>
            </w:r>
            <w:hyperlink r:id="rId13" w:tooltip="https://matarka.hu/klikk.php?cikkmutat=1950539&amp;mutat=http://epa.oszk.hu/00000/00015/00069/pdf/EPA00015_Buksz_02_04szovegekesforditasok.pdf" w:history="1">
              <w:r>
                <w:rPr>
                  <w:rStyle w:val="Hiperhivatkozs"/>
                </w:rPr>
                <w:t xml:space="preserve">Szükségszerűség és megnevezés. </w:t>
              </w:r>
              <w:proofErr w:type="spellStart"/>
              <w:r>
                <w:rPr>
                  <w:rStyle w:val="Hiperhivatkozs"/>
                </w:rPr>
                <w:t>Kripke</w:t>
              </w:r>
              <w:proofErr w:type="spellEnd"/>
              <w:r>
                <w:rPr>
                  <w:rStyle w:val="Hiperhivatkozs"/>
                </w:rPr>
                <w:t xml:space="preserve"> fordítva</w:t>
              </w:r>
            </w:hyperlink>
            <w:r>
              <w:t xml:space="preserve">. In </w:t>
            </w:r>
            <w:r>
              <w:rPr>
                <w:i/>
                <w:iCs/>
              </w:rPr>
              <w:t>BUKSZ</w:t>
            </w:r>
            <w:r>
              <w:t xml:space="preserve"> 25 (2013) 2. 151–162.</w:t>
            </w:r>
          </w:p>
          <w:p w14:paraId="3F7305D0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Zvolenszky</w:t>
            </w:r>
            <w:proofErr w:type="spellEnd"/>
            <w:r>
              <w:t xml:space="preserve"> Zsófia: </w:t>
            </w:r>
            <w:hyperlink r:id="rId14" w:tooltip="http://phil.elte.hu/zvolenszky/publ/kripkezvolenszky2007.pdf" w:history="1">
              <w:r>
                <w:rPr>
                  <w:rStyle w:val="Hiperhivatkozs"/>
                  <w:i/>
                  <w:iCs/>
                </w:rPr>
                <w:t xml:space="preserve">Megnevezés és szükségszerűség – </w:t>
              </w:r>
              <w:r>
                <w:rPr>
                  <w:rStyle w:val="Hiperhivatkozs"/>
                </w:rPr>
                <w:t>Négy évtized távlatában</w:t>
              </w:r>
            </w:hyperlink>
            <w:r>
              <w:t xml:space="preserve">. In Saul </w:t>
            </w:r>
            <w:proofErr w:type="spellStart"/>
            <w:r>
              <w:t>Kripke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 xml:space="preserve">Megnevezés és szükségszerűség. </w:t>
            </w:r>
            <w:proofErr w:type="spellStart"/>
            <w:r>
              <w:t>Zvolenszky</w:t>
            </w:r>
            <w:proofErr w:type="spellEnd"/>
            <w:r>
              <w:t xml:space="preserve"> Zsófia (szerk.), Budapest, Akadémiai, 2007.</w:t>
            </w:r>
          </w:p>
          <w:p w14:paraId="3AB2DA73" w14:textId="77777777" w:rsidR="00230A01" w:rsidRDefault="00000000">
            <w:pPr>
              <w:ind w:left="467" w:hanging="467"/>
            </w:pPr>
            <w:r>
              <w:t xml:space="preserve">Lewis, David: Lehetséges világok. In Farkas Katalin – </w:t>
            </w:r>
            <w:proofErr w:type="spellStart"/>
            <w:r>
              <w:t>Huoranszki</w:t>
            </w:r>
            <w:proofErr w:type="spellEnd"/>
            <w:r>
              <w:t xml:space="preserve"> Ferenc (szerk.): </w:t>
            </w:r>
            <w:r>
              <w:rPr>
                <w:i/>
                <w:iCs/>
              </w:rPr>
              <w:t>Modern metafizikai tanulmányok</w:t>
            </w:r>
            <w:r>
              <w:t>. Budapest, ELTE Eötvös Kiadó, 2004. 91–98.</w:t>
            </w:r>
          </w:p>
          <w:p w14:paraId="7A73381A" w14:textId="77777777" w:rsidR="00230A01" w:rsidRDefault="00000000">
            <w:pPr>
              <w:ind w:left="467" w:hanging="467"/>
            </w:pPr>
            <w:proofErr w:type="spellStart"/>
            <w:r>
              <w:t>Quine</w:t>
            </w:r>
            <w:proofErr w:type="spellEnd"/>
            <w:r>
              <w:t xml:space="preserve">, </w:t>
            </w:r>
            <w:proofErr w:type="spellStart"/>
            <w:r>
              <w:t>Willard</w:t>
            </w:r>
            <w:proofErr w:type="spellEnd"/>
            <w:r>
              <w:t xml:space="preserve"> V. </w:t>
            </w:r>
            <w:hyperlink r:id="rId15" w:tooltip="https://www.szaktars.hu/osiris/view/quine-willard-van-orman-a-tapasztalattol-a-tudomanyig-valogatott-tanulmanyok-osiris-konyvtar-tertium-non-datur-2002/?pg=226&amp;layout=s" w:history="1">
              <w:r>
                <w:rPr>
                  <w:rStyle w:val="Hiperhivatkozs"/>
                </w:rPr>
                <w:t>Referencia és modalitás</w:t>
              </w:r>
            </w:hyperlink>
            <w:r>
              <w:t xml:space="preserve"> (ford. Eszes Boldizsár). In </w:t>
            </w:r>
            <w:proofErr w:type="spellStart"/>
            <w:r>
              <w:t>Quine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A tapasztalattól a tudományig</w:t>
            </w:r>
            <w:r>
              <w:t>. Budapest: Osiris Kiadó, 2002. 225–251.</w:t>
            </w:r>
          </w:p>
          <w:p w14:paraId="313C44D8" w14:textId="77777777" w:rsidR="00230A01" w:rsidRDefault="00000000">
            <w:pPr>
              <w:ind w:left="467" w:hanging="46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McGinn</w:t>
            </w:r>
            <w:proofErr w:type="spellEnd"/>
            <w:r>
              <w:rPr>
                <w:color w:val="000000"/>
              </w:rPr>
              <w:t xml:space="preserve">, Colin: </w:t>
            </w:r>
            <w:hyperlink r:id="rId16" w:anchor="metadata_info_tab_contents" w:tooltip="https://www.jstor.org/stable/2960075#metadata_info_tab_contents" w:history="1">
              <w:proofErr w:type="spellStart"/>
              <w:r>
                <w:rPr>
                  <w:rStyle w:val="Hiperhivatkozs"/>
                </w:rPr>
                <w:t>Rigid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Designation</w:t>
              </w:r>
              <w:proofErr w:type="spellEnd"/>
              <w:r>
                <w:rPr>
                  <w:rStyle w:val="Hiperhivatkozs"/>
                </w:rPr>
                <w:t xml:space="preserve"> and </w:t>
              </w:r>
              <w:proofErr w:type="spellStart"/>
              <w:r>
                <w:rPr>
                  <w:rStyle w:val="Hiperhivatkozs"/>
                </w:rPr>
                <w:t>Semantic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Value</w:t>
              </w:r>
              <w:proofErr w:type="spellEnd"/>
            </w:hyperlink>
            <w:r>
              <w:rPr>
                <w:color w:val="000000"/>
              </w:rPr>
              <w:t xml:space="preserve">. In </w:t>
            </w:r>
            <w:proofErr w:type="spellStart"/>
            <w:r>
              <w:rPr>
                <w:i/>
                <w:iCs/>
                <w:color w:val="000000"/>
              </w:rPr>
              <w:t>Philosophical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Quarterly</w:t>
            </w:r>
            <w:proofErr w:type="spellEnd"/>
            <w:r>
              <w:rPr>
                <w:color w:val="000000"/>
              </w:rPr>
              <w:t xml:space="preserve"> 32 (1982) 127. 97–115.</w:t>
            </w:r>
          </w:p>
          <w:p w14:paraId="7029CEA2" w14:textId="77777777" w:rsidR="00230A01" w:rsidRDefault="00000000">
            <w:pPr>
              <w:ind w:left="467" w:hanging="46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Searle</w:t>
            </w:r>
            <w:proofErr w:type="spellEnd"/>
            <w:r>
              <w:rPr>
                <w:color w:val="000000"/>
              </w:rPr>
              <w:t xml:space="preserve">, John. </w:t>
            </w:r>
            <w:hyperlink r:id="rId17" w:history="1">
              <w:proofErr w:type="spellStart"/>
              <w:r>
                <w:rPr>
                  <w:rStyle w:val="Hiperhivatkozs"/>
                </w:rPr>
                <w:t>Proper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Names</w:t>
              </w:r>
              <w:proofErr w:type="spellEnd"/>
            </w:hyperlink>
            <w:r>
              <w:rPr>
                <w:color w:val="000000"/>
              </w:rPr>
              <w:t xml:space="preserve">. In </w:t>
            </w:r>
            <w:r>
              <w:rPr>
                <w:i/>
                <w:iCs/>
                <w:color w:val="000000"/>
              </w:rPr>
              <w:t xml:space="preserve">Mind </w:t>
            </w:r>
            <w:r>
              <w:rPr>
                <w:color w:val="000000"/>
              </w:rPr>
              <w:t xml:space="preserve">67 (1958) </w:t>
            </w:r>
            <w:r>
              <w:t xml:space="preserve">266. </w:t>
            </w:r>
            <w:r>
              <w:rPr>
                <w:color w:val="000000"/>
              </w:rPr>
              <w:t>166–173.</w:t>
            </w:r>
          </w:p>
          <w:p w14:paraId="0EE91796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Burgess</w:t>
            </w:r>
            <w:proofErr w:type="spellEnd"/>
            <w:r>
              <w:t xml:space="preserve">, John: </w:t>
            </w:r>
            <w:hyperlink r:id="rId18" w:tooltip="http://library.lol/main/FD07A08552E76C79483A1D35673102E2" w:history="1">
              <w:r>
                <w:rPr>
                  <w:rStyle w:val="Hiperhivatkozs"/>
                </w:rPr>
                <w:t xml:space="preserve">Saul </w:t>
              </w:r>
              <w:proofErr w:type="spellStart"/>
              <w:r>
                <w:rPr>
                  <w:rStyle w:val="Hiperhivatkozs"/>
                </w:rPr>
                <w:t>Kripke</w:t>
              </w:r>
              <w:proofErr w:type="spellEnd"/>
              <w:r>
                <w:rPr>
                  <w:rStyle w:val="Hiperhivatkozs"/>
                </w:rPr>
                <w:t xml:space="preserve">, </w:t>
              </w:r>
              <w:proofErr w:type="spellStart"/>
              <w:r>
                <w:rPr>
                  <w:rStyle w:val="Hiperhivatkozs"/>
                </w:rPr>
                <w:t>Naming</w:t>
              </w:r>
              <w:proofErr w:type="spellEnd"/>
              <w:r>
                <w:rPr>
                  <w:rStyle w:val="Hiperhivatkozs"/>
                </w:rPr>
                <w:t xml:space="preserve"> and </w:t>
              </w:r>
              <w:proofErr w:type="spellStart"/>
              <w:r>
                <w:rPr>
                  <w:rStyle w:val="Hiperhivatkozs"/>
                </w:rPr>
                <w:t>Necessity</w:t>
              </w:r>
              <w:proofErr w:type="spellEnd"/>
            </w:hyperlink>
            <w:r>
              <w:t xml:space="preserve">. In John </w:t>
            </w:r>
            <w:proofErr w:type="spellStart"/>
            <w:r>
              <w:t>Shand</w:t>
            </w:r>
            <w:proofErr w:type="spellEnd"/>
            <w:r>
              <w:t xml:space="preserve"> (szerk.): </w:t>
            </w:r>
            <w:proofErr w:type="spellStart"/>
            <w:r>
              <w:rPr>
                <w:i/>
                <w:iCs/>
              </w:rPr>
              <w:t>Central</w:t>
            </w:r>
            <w:proofErr w:type="spellEnd"/>
            <w:r>
              <w:rPr>
                <w:i/>
                <w:iCs/>
              </w:rPr>
              <w:t xml:space="preserve"> Works of </w:t>
            </w:r>
            <w:proofErr w:type="spellStart"/>
            <w:r>
              <w:rPr>
                <w:i/>
                <w:iCs/>
              </w:rPr>
              <w:t>Philosophy</w:t>
            </w:r>
            <w:proofErr w:type="spellEnd"/>
            <w:r>
              <w:rPr>
                <w:i/>
                <w:iCs/>
              </w:rPr>
              <w:t>. 5</w:t>
            </w:r>
            <w:r>
              <w:t xml:space="preserve">. </w:t>
            </w:r>
            <w:r>
              <w:rPr>
                <w:i/>
                <w:iCs/>
              </w:rPr>
              <w:t xml:space="preserve">The </w:t>
            </w:r>
            <w:proofErr w:type="spellStart"/>
            <w:r>
              <w:rPr>
                <w:i/>
                <w:iCs/>
              </w:rPr>
              <w:t>Twentieth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Century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Quine</w:t>
            </w:r>
            <w:proofErr w:type="spellEnd"/>
            <w:r>
              <w:rPr>
                <w:i/>
                <w:iCs/>
              </w:rPr>
              <w:t xml:space="preserve"> and </w:t>
            </w:r>
            <w:proofErr w:type="spellStart"/>
            <w:r>
              <w:rPr>
                <w:i/>
                <w:iCs/>
              </w:rPr>
              <w:t>After</w:t>
            </w:r>
            <w:proofErr w:type="spellEnd"/>
            <w:r>
              <w:t xml:space="preserve">. London, </w:t>
            </w:r>
            <w:proofErr w:type="spellStart"/>
            <w:r>
              <w:t>Acumen</w:t>
            </w:r>
            <w:proofErr w:type="spellEnd"/>
            <w:r>
              <w:t xml:space="preserve"> </w:t>
            </w:r>
            <w:proofErr w:type="spellStart"/>
            <w:r>
              <w:t>Publishin</w:t>
            </w:r>
            <w:proofErr w:type="spellEnd"/>
            <w:r>
              <w:t>, 2006. 166–186.</w:t>
            </w:r>
          </w:p>
          <w:p w14:paraId="1F3A9D5A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Noonan</w:t>
            </w:r>
            <w:proofErr w:type="spellEnd"/>
            <w:r>
              <w:t xml:space="preserve">, Harold: </w:t>
            </w:r>
            <w:hyperlink r:id="rId19" w:tooltip="http://62.182.86.140/main/1184000/bd3e10177abc358593a654cb46632800/%28Routledge%20Philosophy%20GuideBooks%29%20Harold%20Noonan%20-%20Routledge%20Philosophy%20GuideBook%20to%20Kripke%20and%20Naming%20and%20Necessity-Routledge%20%282013%29.pdf" w:history="1">
              <w:proofErr w:type="spellStart"/>
              <w:r>
                <w:rPr>
                  <w:rStyle w:val="Hiperhivatkozs"/>
                  <w:i/>
                  <w:iCs/>
                </w:rPr>
                <w:t>Routledge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iperhivatkozs"/>
                  <w:i/>
                  <w:iCs/>
                </w:rPr>
                <w:t>Philosophy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iperhivatkozs"/>
                  <w:i/>
                  <w:iCs/>
                </w:rPr>
                <w:t>GuideBook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iperhivatkozs"/>
                  <w:i/>
                  <w:iCs/>
                </w:rPr>
                <w:t>to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iperhivatkozs"/>
                  <w:i/>
                  <w:iCs/>
                </w:rPr>
                <w:t>Kripke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and </w:t>
              </w:r>
              <w:proofErr w:type="spellStart"/>
              <w:r>
                <w:rPr>
                  <w:rStyle w:val="Hiperhivatkozs"/>
                  <w:i/>
                  <w:iCs/>
                </w:rPr>
                <w:t>Naming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and </w:t>
              </w:r>
              <w:proofErr w:type="spellStart"/>
              <w:r>
                <w:rPr>
                  <w:rStyle w:val="Hiperhivatkozs"/>
                  <w:i/>
                  <w:iCs/>
                </w:rPr>
                <w:t>Necessity</w:t>
              </w:r>
              <w:proofErr w:type="spellEnd"/>
            </w:hyperlink>
            <w:r>
              <w:t xml:space="preserve">. </w:t>
            </w:r>
            <w:proofErr w:type="spellStart"/>
            <w:r>
              <w:t>Routledge</w:t>
            </w:r>
            <w:proofErr w:type="spellEnd"/>
            <w:r>
              <w:t>, 2013</w:t>
            </w:r>
          </w:p>
          <w:p w14:paraId="26B34097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Donnellan</w:t>
            </w:r>
            <w:proofErr w:type="spellEnd"/>
            <w:r>
              <w:t xml:space="preserve">, Keith: </w:t>
            </w:r>
            <w:hyperlink r:id="rId20" w:anchor="metadata_info_tab_contents" w:tooltip="https://www.jstor.org/stable/2183143#metadata_info_tab_contents" w:history="1">
              <w:proofErr w:type="spellStart"/>
              <w:r>
                <w:rPr>
                  <w:rStyle w:val="Hiperhivatkozs"/>
                </w:rPr>
                <w:t>Reference</w:t>
              </w:r>
              <w:proofErr w:type="spellEnd"/>
              <w:r>
                <w:rPr>
                  <w:rStyle w:val="Hiperhivatkozs"/>
                </w:rPr>
                <w:t xml:space="preserve"> and </w:t>
              </w:r>
              <w:proofErr w:type="spellStart"/>
              <w:r>
                <w:rPr>
                  <w:rStyle w:val="Hiperhivatkozs"/>
                </w:rPr>
                <w:t>Definite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Descriptions</w:t>
              </w:r>
              <w:proofErr w:type="spellEnd"/>
            </w:hyperlink>
            <w:r>
              <w:t xml:space="preserve">. In </w:t>
            </w:r>
            <w:proofErr w:type="spellStart"/>
            <w:r>
              <w:rPr>
                <w:i/>
                <w:iCs/>
              </w:rPr>
              <w:t>Philosophical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Review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75 (1966) 3. 281–304.</w:t>
            </w:r>
          </w:p>
          <w:p w14:paraId="45C1B1DA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Soames</w:t>
            </w:r>
            <w:proofErr w:type="spellEnd"/>
            <w:r>
              <w:t xml:space="preserve">, Scott: </w:t>
            </w:r>
            <w:hyperlink r:id="rId21" w:tooltip="http://62.182.86.140/main/444000/f96149da670d735c609735fc31966be7/Scott%20Soames%20-%20Beyond%20Rigidity_%20The%20Unfinished%20Semantic%20Agenda%20of%20Naming%20and%20Necessity-Oxford%20University%20Press%2C%20USA%20%282002%29.pdf" w:history="1">
              <w:proofErr w:type="spellStart"/>
              <w:r>
                <w:rPr>
                  <w:rStyle w:val="Hiperhivatkozs"/>
                  <w:i/>
                  <w:iCs/>
                </w:rPr>
                <w:t>Beyond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iperhivatkozs"/>
                  <w:i/>
                  <w:iCs/>
                </w:rPr>
                <w:t>Rigidity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: The </w:t>
              </w:r>
              <w:proofErr w:type="spellStart"/>
              <w:r>
                <w:rPr>
                  <w:rStyle w:val="Hiperhivatkozs"/>
                  <w:i/>
                  <w:iCs/>
                </w:rPr>
                <w:t>Unfinished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>
                <w:rPr>
                  <w:rStyle w:val="Hiperhivatkozs"/>
                  <w:i/>
                  <w:iCs/>
                </w:rPr>
                <w:t>Semantic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Agenda of </w:t>
              </w:r>
              <w:proofErr w:type="spellStart"/>
              <w:r>
                <w:rPr>
                  <w:rStyle w:val="Hiperhivatkozs"/>
                  <w:i/>
                  <w:iCs/>
                </w:rPr>
                <w:t>Naming</w:t>
              </w:r>
              <w:proofErr w:type="spellEnd"/>
              <w:r>
                <w:rPr>
                  <w:rStyle w:val="Hiperhivatkozs"/>
                  <w:i/>
                  <w:iCs/>
                </w:rPr>
                <w:t xml:space="preserve"> and </w:t>
              </w:r>
              <w:proofErr w:type="spellStart"/>
              <w:r>
                <w:rPr>
                  <w:rStyle w:val="Hiperhivatkozs"/>
                  <w:i/>
                  <w:iCs/>
                </w:rPr>
                <w:t>Necessity</w:t>
              </w:r>
              <w:proofErr w:type="spellEnd"/>
            </w:hyperlink>
            <w:r>
              <w:t xml:space="preserve">. Oxford: Oxford University Press. 2002. </w:t>
            </w:r>
          </w:p>
          <w:p w14:paraId="32D0DF99" w14:textId="77777777" w:rsidR="00230A01" w:rsidRDefault="00000000">
            <w:pPr>
              <w:ind w:left="467" w:hanging="467"/>
              <w:jc w:val="both"/>
            </w:pPr>
            <w:proofErr w:type="spellStart"/>
            <w:r>
              <w:t>Humphreys</w:t>
            </w:r>
            <w:proofErr w:type="spellEnd"/>
            <w:r>
              <w:t xml:space="preserve">, Paul W. – James H. </w:t>
            </w:r>
            <w:proofErr w:type="spellStart"/>
            <w:r>
              <w:t>Fetzer</w:t>
            </w:r>
            <w:proofErr w:type="spellEnd"/>
            <w:r>
              <w:t xml:space="preserve"> (szerk.): </w:t>
            </w:r>
            <w:hyperlink r:id="rId22" w:tooltip="http://62.182.86.140/main/2646000/fe04ad2b122e7e84705e7729bbf0646f/%28Synthese%20Library%20270%29%20Quentin%20Smith%20%28auth.%29%2C%20Paul%20W.%20Humphreys%2C%20James%20H.%20Fetzer%20%28eds.%29%20-%20The%20New%20Theory%20of%20Reference_%20Kripke%2C%20Mar" w:history="1">
              <w:r>
                <w:rPr>
                  <w:rStyle w:val="Hiperhivatkozs"/>
                </w:rPr>
                <w:t xml:space="preserve">The New </w:t>
              </w:r>
              <w:proofErr w:type="spellStart"/>
              <w:r>
                <w:rPr>
                  <w:rStyle w:val="Hiperhivatkozs"/>
                </w:rPr>
                <w:t>Theory</w:t>
              </w:r>
              <w:proofErr w:type="spellEnd"/>
              <w:r>
                <w:rPr>
                  <w:rStyle w:val="Hiperhivatkozs"/>
                </w:rPr>
                <w:t xml:space="preserve"> of </w:t>
              </w:r>
              <w:proofErr w:type="spellStart"/>
              <w:r>
                <w:rPr>
                  <w:rStyle w:val="Hiperhivatkozs"/>
                </w:rPr>
                <w:t>Reference</w:t>
              </w:r>
              <w:proofErr w:type="spellEnd"/>
            </w:hyperlink>
            <w:r>
              <w:t xml:space="preserve">. </w:t>
            </w:r>
            <w:proofErr w:type="spellStart"/>
            <w:r>
              <w:t>Kripke</w:t>
            </w:r>
            <w:proofErr w:type="spellEnd"/>
            <w:r>
              <w:t xml:space="preserve">, Marcus,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Origins</w:t>
            </w:r>
            <w:proofErr w:type="spellEnd"/>
            <w:r>
              <w:t xml:space="preserve">. </w:t>
            </w:r>
            <w:proofErr w:type="spellStart"/>
            <w:r>
              <w:t>Dordrecht</w:t>
            </w:r>
            <w:proofErr w:type="spellEnd"/>
            <w:r>
              <w:t xml:space="preserve"> – Boston – London, </w:t>
            </w:r>
            <w:proofErr w:type="spellStart"/>
            <w:r>
              <w:t>Kluwer</w:t>
            </w:r>
            <w:proofErr w:type="spellEnd"/>
            <w:r>
              <w:t>, 1998.</w:t>
            </w:r>
          </w:p>
          <w:p w14:paraId="121EBD89" w14:textId="77777777" w:rsidR="00230A01" w:rsidRDefault="00230A01">
            <w:pPr>
              <w:spacing w:line="360" w:lineRule="auto"/>
              <w:ind w:left="612" w:right="-76" w:hanging="252"/>
            </w:pPr>
          </w:p>
        </w:tc>
      </w:tr>
    </w:tbl>
    <w:p w14:paraId="56B8127A" w14:textId="77777777" w:rsidR="002C3044" w:rsidRDefault="002C3044"/>
    <w:sectPr w:rsidR="002C3044">
      <w:pgSz w:w="11906" w:h="16838"/>
      <w:pgMar w:top="567" w:right="851" w:bottom="567" w:left="85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displayBackgroundShape/>
  <w:proofState w:spelling="clean" w:grammar="clean"/>
  <w:defaultTabStop w:val="708"/>
  <w:hyphenationZone w:val="4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DD"/>
    <w:rsid w:val="000508DD"/>
    <w:rsid w:val="00230A01"/>
    <w:rsid w:val="002C3044"/>
    <w:rsid w:val="003E14F3"/>
    <w:rsid w:val="007A7F74"/>
    <w:rsid w:val="008C7DD4"/>
    <w:rsid w:val="00A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A522B"/>
  <w15:chartTrackingRefBased/>
  <w15:docId w15:val="{E984420D-5E64-4E3D-B740-F2F010D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eastAsiaTheme="minorEastAsia"/>
    </w:rPr>
  </w:style>
  <w:style w:type="paragraph" w:styleId="lfej">
    <w:name w:val="header"/>
    <w:basedOn w:val="Norml"/>
    <w:link w:val="lfejChar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locked/>
    <w:rPr>
      <w:sz w:val="24"/>
      <w:szCs w:val="24"/>
    </w:rPr>
  </w:style>
  <w:style w:type="paragraph" w:styleId="llb">
    <w:name w:val="footer"/>
    <w:basedOn w:val="Norml"/>
    <w:link w:val="llbChar"/>
    <w:semiHidden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locked/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</w:style>
  <w:style w:type="character" w:customStyle="1" w:styleId="SzvegtrzsChar">
    <w:name w:val="Szövegtörzs Char"/>
    <w:basedOn w:val="Bekezdsalapbettpusa"/>
    <w:link w:val="Szvegtrzs"/>
    <w:semiHidden/>
    <w:locked/>
    <w:rPr>
      <w:sz w:val="24"/>
      <w:szCs w:val="24"/>
    </w:rPr>
  </w:style>
  <w:style w:type="paragraph" w:customStyle="1" w:styleId="western">
    <w:name w:val="western"/>
    <w:basedOn w:val="Norml"/>
    <w:semiHidden/>
  </w:style>
  <w:style w:type="paragraph" w:customStyle="1" w:styleId="ww-html-kntformzott">
    <w:name w:val="ww-html-kntformzott"/>
    <w:basedOn w:val="Norml"/>
    <w:semiHidden/>
  </w:style>
  <w:style w:type="character" w:customStyle="1" w:styleId="keretesures-alcim121">
    <w:name w:val="keretesures-alcim121"/>
    <w:basedOn w:val="Bekezdsalapbettpusa"/>
  </w:style>
  <w:style w:type="table" w:styleId="Rcsostblzat">
    <w:name w:val="Table Grid"/>
    <w:basedOn w:val="Normltblzat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ppke.hu/storage/tinymce/uploads/old/uploads/articles/3763/file/Tanulmanyi-es-Vizsgaszabalyzat-egyseges-szerkezetben-a-BTK-kiegeszit---rendelkezeseivel.pdf?u=1eRzUg" TargetMode="External"/><Relationship Id="rId13" Type="http://schemas.openxmlformats.org/officeDocument/2006/relationships/hyperlink" Target="https://matarka.hu/klikk.php?cikkmutat=1950539&amp;mutat=http://epa.oszk.hu/00000/00015/00069/pdf/EPA00015_Buksz_02_04szovegekesforditasok.pdf" TargetMode="External"/><Relationship Id="rId18" Type="http://schemas.openxmlformats.org/officeDocument/2006/relationships/hyperlink" Target="http://library.lol/main/FD07A08552E76C79483A1D35673102E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62.182.86.140/main/444000/f96149da670d735c609735fc31966be7/Scott%20Soames%20-%20Beyond%20Rigidity_%20The%20Unfinished%20Semantic%20Agenda%20of%20Naming%20and%20Necessity-Oxford%20University%20Press%2C%20USA%20%282002%29.pdf" TargetMode="External"/><Relationship Id="rId7" Type="http://schemas.openxmlformats.org/officeDocument/2006/relationships/hyperlink" Target="https://ppke.hu/storage/tinymce/uploads/Egyetemi-Szabalyzatok/PPKE_MI_ajanlas_20260101_keresheto.pdf" TargetMode="External"/><Relationship Id="rId12" Type="http://schemas.openxmlformats.org/officeDocument/2006/relationships/hyperlink" Target="https://www.szaktars.hu/osiris/view/neumer-katalin-szerk-nyelv-gondolkodas-relativizmus-osiris-konyvtar-pszichologia-1999/?pg=284&amp;layout=s" TargetMode="External"/><Relationship Id="rId17" Type="http://schemas.openxmlformats.org/officeDocument/2006/relationships/hyperlink" Target="http://lps.elte.hu/zvolenszky/altalanos/2007F.kripke/searl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stor.org/stable/2960075" TargetMode="External"/><Relationship Id="rId20" Type="http://schemas.openxmlformats.org/officeDocument/2006/relationships/hyperlink" Target="https://www.jstor.org/stable/2183143" TargetMode="External"/><Relationship Id="rId1" Type="http://schemas.openxmlformats.org/officeDocument/2006/relationships/styles" Target="styles.xml"/><Relationship Id="rId6" Type="http://schemas.openxmlformats.org/officeDocument/2006/relationships/hyperlink" Target="http://socialistica.lenin.ru/analytic/txt/k/kripke_1.htm" TargetMode="External"/><Relationship Id="rId11" Type="http://schemas.openxmlformats.org/officeDocument/2006/relationships/hyperlink" Target="http://hankovszky.tamas.btk.ppke.hu/okta/kerd-frege1bek.do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hankovszky.tamas.btk.ppke.hu/szgy/kripke.doc" TargetMode="External"/><Relationship Id="rId15" Type="http://schemas.openxmlformats.org/officeDocument/2006/relationships/hyperlink" Target="https://www.szaktars.hu/osiris/view/quine-willard-van-orman-a-tapasztalattol-a-tudomanyig-valogatott-tanulmanyok-osiris-konyvtar-tertium-non-datur-2002/?pg=226&amp;layout=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ankovszky.tamas.btk.ppke.hu/szgy/frege.doc" TargetMode="External"/><Relationship Id="rId19" Type="http://schemas.openxmlformats.org/officeDocument/2006/relationships/hyperlink" Target="http://62.182.86.140/main/1184000/bd3e10177abc358593a654cb46632800/%28Routledge%20Philosophy%20GuideBooks%29%20Harold%20Noonan%20-%20Routledge%20Philosophy%20GuideBook%20to%20Kripke%20and%20Naming%20and%20Necessity-Routledge%20%282013%29.pdf" TargetMode="External"/><Relationship Id="rId4" Type="http://schemas.openxmlformats.org/officeDocument/2006/relationships/hyperlink" Target="http://hankovszky.tamas.btk.ppke.hu/okta/kripke-kerd.doc" TargetMode="External"/><Relationship Id="rId9" Type="http://schemas.openxmlformats.org/officeDocument/2006/relationships/hyperlink" Target="http://hankovszky.tamas.btk.ppke.hu/okta/kripke-kerd.doc" TargetMode="External"/><Relationship Id="rId14" Type="http://schemas.openxmlformats.org/officeDocument/2006/relationships/hyperlink" Target="http://phil.elte.hu/zvolenszky/publ/kripkezvolenszky2007.pdf" TargetMode="External"/><Relationship Id="rId22" Type="http://schemas.openxmlformats.org/officeDocument/2006/relationships/hyperlink" Target="http://62.182.86.140/main/2646000/fe04ad2b122e7e84705e7729bbf0646f/%28Synthese%20Library%20270%29%20Quentin%20Smith%20%28auth.%29%2C%20Paul%20W.%20Humphreys%2C%20James%20H.%20Fetzer%20%28eds.%29%20-%20The%20New%20Theory%20of%20Reference_%20Kripke%2C%20Marcus%2C%20and%20Its%20Origins-Springer%20Netherlands%20%281998%2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1486</Words>
  <Characters>10259</Characters>
  <Application>Microsoft Office Word</Application>
  <DocSecurity>0</DocSecurity>
  <Lines>85</Lines>
  <Paragraphs>23</Paragraphs>
  <ScaleCrop>false</ScaleCrop>
  <Company>Microsoft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Hankovszky Tamás</dc:title>
  <dc:subject/>
  <dc:creator>Hankovszky Tamás</dc:creator>
  <cp:keywords/>
  <dc:description/>
  <cp:lastModifiedBy>Hankovszky Tamás</cp:lastModifiedBy>
  <cp:revision>4</cp:revision>
  <dcterms:created xsi:type="dcterms:W3CDTF">2026-01-14T11:37:00Z</dcterms:created>
  <dcterms:modified xsi:type="dcterms:W3CDTF">2026-01-14T11:48:00Z</dcterms:modified>
</cp:coreProperties>
</file>