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781"/>
      </w:tblGrid>
      <w:tr w:rsidR="00250AB2" w14:paraId="1ED69171" w14:textId="777777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A324FF1" w14:textId="77777777" w:rsidR="00250AB2" w:rsidRDefault="00000000">
            <w:pPr>
              <w:jc w:val="center"/>
            </w:pPr>
            <w:r>
              <w:t>Bevezetés a filozófiai kutatómunka módszertanába</w:t>
            </w:r>
          </w:p>
          <w:p w14:paraId="17318F0B" w14:textId="77777777" w:rsidR="00250AB2" w:rsidRDefault="00000000">
            <w:pPr>
              <w:jc w:val="center"/>
            </w:pPr>
            <w:r>
              <w:rPr>
                <w:b/>
                <w:bCs/>
              </w:rPr>
              <w:t xml:space="preserve">A mesterséges intelligencia és a legfőbb jó </w:t>
            </w:r>
          </w:p>
          <w:p w14:paraId="63495F34" w14:textId="77777777" w:rsidR="00250AB2" w:rsidRDefault="00000000">
            <w:pPr>
              <w:jc w:val="center"/>
            </w:pPr>
            <w:r>
              <w:t>kísérleti szeminárium, BMNSF05500M</w:t>
            </w:r>
          </w:p>
          <w:p w14:paraId="10D62F4D" w14:textId="77777777" w:rsidR="00250AB2" w:rsidRDefault="00250AB2">
            <w:pPr>
              <w:jc w:val="center"/>
            </w:pPr>
          </w:p>
          <w:p w14:paraId="03E1558C" w14:textId="77777777" w:rsidR="00250AB2" w:rsidRDefault="00000000">
            <w:pPr>
              <w:jc w:val="center"/>
            </w:pPr>
            <w:r>
              <w:t>2026. tavasz</w:t>
            </w:r>
          </w:p>
          <w:p w14:paraId="769B94A7" w14:textId="77777777" w:rsidR="00250AB2" w:rsidRDefault="00250AB2">
            <w:pPr>
              <w:jc w:val="center"/>
            </w:pPr>
          </w:p>
          <w:p w14:paraId="49A2BEBB" w14:textId="77777777" w:rsidR="00250AB2" w:rsidRDefault="00000000">
            <w:pPr>
              <w:jc w:val="center"/>
            </w:pPr>
            <w:r>
              <w:rPr>
                <w:b/>
                <w:bCs/>
              </w:rPr>
              <w:t xml:space="preserve">KURZUSLEÍRÁS </w:t>
            </w:r>
          </w:p>
          <w:p w14:paraId="037BF3B7" w14:textId="77777777" w:rsidR="00250AB2" w:rsidRDefault="00250AB2">
            <w:pPr>
              <w:jc w:val="center"/>
            </w:pPr>
          </w:p>
          <w:p w14:paraId="4541568C" w14:textId="352362CA" w:rsidR="00250AB2" w:rsidRDefault="00000000" w:rsidP="009026CE">
            <w:pPr>
              <w:ind w:firstLine="607"/>
              <w:jc w:val="both"/>
            </w:pPr>
            <w:r>
              <w:t xml:space="preserve">A mesterséges intelligencia új helyzetet teremt, és talán új távlatokat is nyit a tudományban és a felsőoktatásban. Miközben újraírja az oktatói és a hallgatói szerepeket, megváltoztatja a tanulás és a kutatás </w:t>
            </w:r>
            <w:r w:rsidRPr="006A2322">
              <w:rPr>
                <w:i/>
                <w:iCs/>
              </w:rPr>
              <w:t>módszereit</w:t>
            </w:r>
            <w:r>
              <w:t xml:space="preserve">, és bizonyára a </w:t>
            </w:r>
            <w:r w:rsidRPr="006A2322">
              <w:rPr>
                <w:i/>
                <w:iCs/>
              </w:rPr>
              <w:t>céljait</w:t>
            </w:r>
            <w:r>
              <w:t xml:space="preserve"> is. Egyelőre senki nem tudja, mik lesznek ezek a célok, de akármik is lesznek, az biztosnak tűnik, továbbra is lesz értelme szövegeket értelmezni, érveket rekonstruálni, gondolatok történetét </w:t>
            </w:r>
            <w:r w:rsidR="000A2EDD">
              <w:t>nyomon követni</w:t>
            </w:r>
            <w:r>
              <w:t xml:space="preserve">, összefüggéseket feltárni, nézőpontokat ütköztetni, saját álláspontot kialakítani. Mindennek akkor is van értelme, ha az MI már egy egyetemi kurzus első percében is „tudja” mindazt, amit a résztvevők csak </w:t>
            </w:r>
            <w:r w:rsidR="009026CE">
              <w:t xml:space="preserve">fáradságos munkával </w:t>
            </w:r>
            <w:r>
              <w:t xml:space="preserve">sajátítanak el. Egyre értelmetlenebbnek látszik </w:t>
            </w:r>
            <w:r w:rsidR="001D014C">
              <w:t>viszont</w:t>
            </w:r>
            <w:r>
              <w:t xml:space="preserve"> úgy tanulni és úgy kutatni, mintha nem is létezne </w:t>
            </w:r>
            <w:r w:rsidRPr="006A2322">
              <w:rPr>
                <w:i/>
                <w:iCs/>
              </w:rPr>
              <w:t>egy egészen új eszköz</w:t>
            </w:r>
            <w:r>
              <w:t xml:space="preserve">, amely megkönnyítheti és eredményesebbé is teheti a munkánkat. </w:t>
            </w:r>
          </w:p>
          <w:p w14:paraId="76A212FF" w14:textId="04FF914E" w:rsidR="00250AB2" w:rsidRDefault="00000000" w:rsidP="009026CE">
            <w:pPr>
              <w:ind w:firstLine="607"/>
              <w:jc w:val="both"/>
            </w:pPr>
            <w:r>
              <w:t xml:space="preserve">Kísérleti szemináriumunk arra a kérdésre keresi a választ, </w:t>
            </w:r>
            <w:r w:rsidRPr="006A2322">
              <w:rPr>
                <w:i/>
                <w:iCs/>
              </w:rPr>
              <w:t>hogyan használható az MI filozófiában</w:t>
            </w:r>
            <w:r>
              <w:t>, hogyan segíthet saját kérdéseink megválaszolásában, más szóval hogyan maradhat eszköz, miközben mi magunk vagyunk az</w:t>
            </w:r>
            <w:r w:rsidR="001D014C">
              <w:t>ok</w:t>
            </w:r>
            <w:r>
              <w:t>, aki</w:t>
            </w:r>
            <w:r w:rsidR="001D014C">
              <w:t>k</w:t>
            </w:r>
            <w:r>
              <w:t xml:space="preserve"> kutat</w:t>
            </w:r>
            <w:r w:rsidR="001D014C">
              <w:t>nak</w:t>
            </w:r>
            <w:r>
              <w:t>, és aki</w:t>
            </w:r>
            <w:r w:rsidR="001D014C">
              <w:t>k</w:t>
            </w:r>
            <w:r>
              <w:t xml:space="preserve"> tudásra tesz</w:t>
            </w:r>
            <w:r w:rsidR="001D014C">
              <w:t>nek</w:t>
            </w:r>
            <w:r>
              <w:t xml:space="preserve"> szert. Itt valóban keresésre van szükség, mert egyelőre kevés tapasztalatunk van ezen a téren, és ez a kevés sem egyöntetű. Éppen ez az egyik oka annak, hogy a kurzus </w:t>
            </w:r>
            <w:r w:rsidRPr="006A2322">
              <w:rPr>
                <w:i/>
                <w:iCs/>
              </w:rPr>
              <w:t>kísérleti szeminárium</w:t>
            </w:r>
            <w:r>
              <w:t>ként határozza meg magát. A másik az a feltételezés, hogy nemcsak a filozófiai munka módszerei változnak meg az MI bevonásával, hanem az új módszerek részben új célokat is elérhetővé tesznek, de hogy pontosan milyen célokat, az csak menet közben derül</w:t>
            </w:r>
            <w:r w:rsidR="000A2EDD">
              <w:t>het ki</w:t>
            </w:r>
            <w:r>
              <w:t xml:space="preserve">. </w:t>
            </w:r>
          </w:p>
          <w:p w14:paraId="42BFAE2F" w14:textId="549AFB71" w:rsidR="00250AB2" w:rsidRDefault="00000000" w:rsidP="009026CE">
            <w:pPr>
              <w:ind w:firstLine="607"/>
              <w:jc w:val="both"/>
            </w:pPr>
            <w:r>
              <w:t xml:space="preserve">Ennek értelmében a szemináriumnak nincs előre rögzített célja, ahogy nincs menetrendje, módszere, irodalomjegyzéke, nincsenek kidolgozott sikerkritériumai, és nincs teljes és végleges követelménylistája sem. Csak egy tágan értelmezett témája van, </w:t>
            </w:r>
            <w:r w:rsidRPr="006A2322">
              <w:rPr>
                <w:i/>
                <w:iCs/>
              </w:rPr>
              <w:t>a legfőbb jó</w:t>
            </w:r>
            <w:r>
              <w:t xml:space="preserve">, amely újra és újra felbukkant a filozófia történetében, a filozófia számos részterületével áll összefüggésben, és ennek megfelelően hatalmas irodalma van. Az első hetekben </w:t>
            </w:r>
            <w:r w:rsidR="001D014C">
              <w:t xml:space="preserve">az MI bevonásával </w:t>
            </w:r>
            <w:r>
              <w:t xml:space="preserve">igyekszünk számba venni a legfőbb jóhoz kapcsolódó főbb problémákat, és megtalálni közülük azokat, amelyeknek a későbbiekben utána akarunk járni, nyitva hagyva a </w:t>
            </w:r>
            <w:r w:rsidRPr="000A2EDD">
              <w:t>tervek későbbi módosításának</w:t>
            </w:r>
            <w:r w:rsidR="000A2EDD" w:rsidRPr="000A2EDD">
              <w:t xml:space="preserve"> </w:t>
            </w:r>
            <w:r w:rsidR="000A2EDD" w:rsidRPr="000A2EDD">
              <w:t>l</w:t>
            </w:r>
            <w:r w:rsidR="000A2EDD">
              <w:t>ehetőség</w:t>
            </w:r>
            <w:r w:rsidR="000A2EDD">
              <w:t>é</w:t>
            </w:r>
            <w:r w:rsidR="000A2EDD">
              <w:t>t</w:t>
            </w:r>
            <w:r>
              <w:t>.</w:t>
            </w:r>
          </w:p>
          <w:p w14:paraId="7A5EB8CD" w14:textId="6CB564E5" w:rsidR="009026CE" w:rsidRDefault="00000000" w:rsidP="009026CE">
            <w:pPr>
              <w:ind w:firstLine="607"/>
              <w:jc w:val="both"/>
            </w:pPr>
            <w:r>
              <w:t xml:space="preserve">A </w:t>
            </w:r>
            <w:r w:rsidRPr="006A2322">
              <w:rPr>
                <w:i/>
                <w:iCs/>
              </w:rPr>
              <w:t>munkánk általános keretét</w:t>
            </w:r>
            <w:r>
              <w:t xml:space="preserve"> három </w:t>
            </w:r>
            <w:r w:rsidR="006A2322">
              <w:t>megfontolás</w:t>
            </w:r>
            <w:r>
              <w:t xml:space="preserve"> jelöli ki. </w:t>
            </w:r>
          </w:p>
          <w:p w14:paraId="39EB43FE" w14:textId="4EBA6ACC" w:rsidR="009026CE" w:rsidRDefault="006A2322" w:rsidP="006A2322">
            <w:pPr>
              <w:pStyle w:val="Listaszerbekezds"/>
              <w:numPr>
                <w:ilvl w:val="0"/>
                <w:numId w:val="1"/>
              </w:numPr>
              <w:ind w:left="182" w:hanging="142"/>
              <w:jc w:val="both"/>
            </w:pPr>
            <w:r>
              <w:t>A szeminárium a hallgatók otthoni és órai aktivitására épülő</w:t>
            </w:r>
            <w:r w:rsidR="009026CE">
              <w:t>,</w:t>
            </w:r>
            <w:r>
              <w:t xml:space="preserve"> közösségi tanulási forma. </w:t>
            </w:r>
          </w:p>
          <w:p w14:paraId="2EA9732E" w14:textId="323D08DF" w:rsidR="009026CE" w:rsidRDefault="006A2322" w:rsidP="006A2322">
            <w:pPr>
              <w:pStyle w:val="Listaszerbekezds"/>
              <w:numPr>
                <w:ilvl w:val="0"/>
                <w:numId w:val="1"/>
              </w:numPr>
              <w:ind w:left="182" w:hanging="142"/>
              <w:jc w:val="both"/>
            </w:pPr>
            <w:r>
              <w:t xml:space="preserve">A tanulásnak prezentálható tudáshoz kell vezetnie. </w:t>
            </w:r>
          </w:p>
          <w:p w14:paraId="4E8A0A21" w14:textId="608B2B57" w:rsidR="00250AB2" w:rsidRDefault="006A2322" w:rsidP="006A2322">
            <w:pPr>
              <w:pStyle w:val="Listaszerbekezds"/>
              <w:numPr>
                <w:ilvl w:val="0"/>
                <w:numId w:val="1"/>
              </w:numPr>
              <w:ind w:left="182" w:hanging="142"/>
              <w:jc w:val="both"/>
            </w:pPr>
            <w:r>
              <w:t xml:space="preserve">Célunk </w:t>
            </w:r>
            <w:r w:rsidR="001D014C">
              <w:t xml:space="preserve">a módszertani kísérletezés. Fel </w:t>
            </w:r>
            <w:r>
              <w:t>kívánjuk</w:t>
            </w:r>
            <w:r w:rsidR="001D014C">
              <w:t xml:space="preserve"> térképezni </w:t>
            </w:r>
            <w:r>
              <w:t>az MI lehetőségeit, illetve jártasságot szeretnénk szerezni az MI alkalmazásában. Ezért nemcsak a legfőbb jó</w:t>
            </w:r>
            <w:r w:rsidR="009026CE">
              <w:t xml:space="preserve">ra vonatkozó új </w:t>
            </w:r>
            <w:r>
              <w:t>ismereteinket osztjuk meg egymással, hanem az MI használata során szerzett tapasztalatainkat is.</w:t>
            </w:r>
          </w:p>
          <w:p w14:paraId="20B371A7" w14:textId="77777777" w:rsidR="00250AB2" w:rsidRDefault="00250AB2">
            <w:pPr>
              <w:jc w:val="both"/>
            </w:pPr>
          </w:p>
          <w:p w14:paraId="07FE64C1" w14:textId="77777777" w:rsidR="00250AB2" w:rsidRDefault="00000000">
            <w:pPr>
              <w:jc w:val="both"/>
            </w:pPr>
            <w:r>
              <w:rPr>
                <w:b/>
                <w:bCs/>
              </w:rPr>
              <w:t>Oktató</w:t>
            </w:r>
            <w:r>
              <w:t>: Hankovszky Tamás (</w:t>
            </w:r>
            <w:proofErr w:type="spellStart"/>
            <w:r>
              <w:fldChar w:fldCharType="begin"/>
            </w:r>
            <w:r>
              <w:instrText>HYPERLINK "mailto:hankovszky@btk.ppke.hu"</w:instrText>
            </w:r>
            <w:r>
              <w:fldChar w:fldCharType="separate"/>
            </w:r>
            <w:r>
              <w:rPr>
                <w:rStyle w:val="Hiperhivatkozs"/>
              </w:rPr>
              <w:t>hankovszky@btk.ppke.hu</w:t>
            </w:r>
            <w:proofErr w:type="spellEnd"/>
            <w:r>
              <w:fldChar w:fldCharType="end"/>
            </w:r>
            <w:r>
              <w:t>)</w:t>
            </w:r>
          </w:p>
          <w:p w14:paraId="456BFB15" w14:textId="77777777" w:rsidR="00250AB2" w:rsidRDefault="00000000">
            <w:pPr>
              <w:jc w:val="both"/>
            </w:pPr>
            <w:r>
              <w:rPr>
                <w:b/>
                <w:bCs/>
              </w:rPr>
              <w:t>Időpont</w:t>
            </w:r>
            <w:r>
              <w:t>: szerda 12.30 – 14.</w:t>
            </w:r>
            <w:r>
              <w:rPr>
                <w:bCs/>
              </w:rPr>
              <w:t xml:space="preserve">00 </w:t>
            </w:r>
          </w:p>
          <w:p w14:paraId="5A8C2C98" w14:textId="77777777" w:rsidR="00250AB2" w:rsidRDefault="00000000">
            <w:pPr>
              <w:jc w:val="both"/>
            </w:pPr>
            <w:r>
              <w:rPr>
                <w:b/>
                <w:bCs/>
              </w:rPr>
              <w:t>Hely</w:t>
            </w:r>
            <w:r>
              <w:t xml:space="preserve">: </w:t>
            </w:r>
            <w:r>
              <w:rPr>
                <w:bCs/>
              </w:rPr>
              <w:t>1002</w:t>
            </w:r>
          </w:p>
          <w:p w14:paraId="4E97A680" w14:textId="77777777" w:rsidR="00250AB2" w:rsidRDefault="00250AB2">
            <w:pPr>
              <w:jc w:val="both"/>
            </w:pPr>
          </w:p>
          <w:p w14:paraId="2ADB49D4" w14:textId="77777777" w:rsidR="00250AB2" w:rsidRDefault="00000000">
            <w:pPr>
              <w:jc w:val="both"/>
            </w:pPr>
            <w:r>
              <w:rPr>
                <w:b/>
                <w:bCs/>
              </w:rPr>
              <w:t>Követelmények</w:t>
            </w:r>
          </w:p>
          <w:p w14:paraId="39AC0EE0" w14:textId="77777777" w:rsidR="00250AB2" w:rsidRDefault="00000000">
            <w:pPr>
              <w:jc w:val="both"/>
            </w:pPr>
            <w:r>
              <w:t xml:space="preserve">A hallgatók a félév végén aláírást és gyakorlati jegyet kaphatnak. A foglalkozásokon való aktív részvétel, továbbá a kurzus végén az eredmények prezentálása mindegyiknek feltétele. </w:t>
            </w:r>
          </w:p>
          <w:p w14:paraId="18C37E72" w14:textId="77777777" w:rsidR="00250AB2" w:rsidRDefault="00000000">
            <w:pPr>
              <w:jc w:val="both"/>
              <w:rPr>
                <w:rFonts w:ascii="Tahoma" w:hAnsi="Tahoma" w:cs="Tahoma"/>
              </w:rPr>
            </w:pPr>
            <w:r>
              <w:rPr>
                <w:u w:val="single"/>
              </w:rPr>
              <w:t>Hiányzás</w:t>
            </w:r>
            <w:r>
              <w:t xml:space="preserve"> A szemináriumokon a részvétel kötelező. A maximális hiányzási lehetőség 4x45 perc. Ennél több hiányzás esetén a kurzusra nem jár aláírás (így jegy sem). „Igazolt” és „igazolatlan” hiányzás között nincs különbség.</w:t>
            </w:r>
            <w:r>
              <w:rPr>
                <w:u w:val="single"/>
              </w:rPr>
              <w:t xml:space="preserve"> </w:t>
            </w:r>
          </w:p>
        </w:tc>
      </w:tr>
    </w:tbl>
    <w:p w14:paraId="28964E1B" w14:textId="77777777" w:rsidR="00A660F1" w:rsidRDefault="00A660F1"/>
    <w:sectPr w:rsidR="00A660F1">
      <w:pgSz w:w="11906" w:h="16838"/>
      <w:pgMar w:top="567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2548" w14:textId="77777777" w:rsidR="0068551C" w:rsidRDefault="0068551C">
      <w:r>
        <w:separator/>
      </w:r>
    </w:p>
  </w:endnote>
  <w:endnote w:type="continuationSeparator" w:id="0">
    <w:p w14:paraId="6F7450A7" w14:textId="77777777" w:rsidR="0068551C" w:rsidRDefault="0068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CEF3" w14:textId="77777777" w:rsidR="0068551C" w:rsidRDefault="0068551C">
      <w:r>
        <w:separator/>
      </w:r>
    </w:p>
  </w:footnote>
  <w:footnote w:type="continuationSeparator" w:id="0">
    <w:p w14:paraId="325E5E0C" w14:textId="77777777" w:rsidR="0068551C" w:rsidRDefault="0068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25CB2"/>
    <w:multiLevelType w:val="hybridMultilevel"/>
    <w:tmpl w:val="ABA08FAC"/>
    <w:lvl w:ilvl="0" w:tplc="040E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num w:numId="1" w16cid:durableId="45437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4C"/>
    <w:rsid w:val="000A2EDD"/>
    <w:rsid w:val="00191618"/>
    <w:rsid w:val="001D014C"/>
    <w:rsid w:val="00250AB2"/>
    <w:rsid w:val="0068551C"/>
    <w:rsid w:val="006A2322"/>
    <w:rsid w:val="007A556D"/>
    <w:rsid w:val="0080752C"/>
    <w:rsid w:val="009026CE"/>
    <w:rsid w:val="00A660F1"/>
    <w:rsid w:val="00AE2712"/>
    <w:rsid w:val="00CF7D18"/>
    <w:rsid w:val="00E26A59"/>
    <w:rsid w:val="00E6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ACA8"/>
  <w15:chartTrackingRefBased/>
  <w15:docId w15:val="{E984420D-5E64-4E3D-B740-F2F010D2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qFormat/>
    <w:pPr>
      <w:spacing w:before="100" w:beforeAutospacing="1" w:after="100" w:afterAutospacing="1"/>
      <w:outlineLvl w:val="1"/>
    </w:pPr>
    <w:rPr>
      <w:rFonts w:eastAsiaTheme="minorEastAsia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Pr>
      <w:color w:val="800080"/>
      <w:u w:val="single"/>
    </w:rPr>
  </w:style>
  <w:style w:type="character" w:customStyle="1" w:styleId="Cmsor1Char">
    <w:name w:val="Címsor 1 Char"/>
    <w:basedOn w:val="Bekezdsalapbettpusa"/>
    <w:link w:val="Cmsor1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l"/>
    <w:pPr>
      <w:spacing w:before="100" w:beforeAutospacing="1" w:after="100" w:afterAutospacing="1"/>
    </w:pPr>
    <w:rPr>
      <w:rFonts w:eastAsiaTheme="minorEastAsia"/>
    </w:rPr>
  </w:style>
  <w:style w:type="paragraph" w:styleId="lfej">
    <w:name w:val="header"/>
    <w:basedOn w:val="Norml"/>
    <w:link w:val="lfejChar"/>
    <w:semiHidden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locked/>
    <w:rPr>
      <w:sz w:val="24"/>
      <w:szCs w:val="24"/>
    </w:rPr>
  </w:style>
  <w:style w:type="paragraph" w:styleId="llb">
    <w:name w:val="footer"/>
    <w:basedOn w:val="Norml"/>
    <w:link w:val="llbChar"/>
    <w:semiHidden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locked/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</w:style>
  <w:style w:type="character" w:customStyle="1" w:styleId="SzvegtrzsChar">
    <w:name w:val="Szövegtörzs Char"/>
    <w:basedOn w:val="Bekezdsalapbettpusa"/>
    <w:link w:val="Szvegtrzs"/>
    <w:semiHidden/>
    <w:locked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locked/>
    <w:rPr>
      <w:rFonts w:ascii="Tahoma" w:hAnsi="Tahoma" w:cs="Tahoma" w:hint="default"/>
      <w:sz w:val="16"/>
      <w:szCs w:val="16"/>
    </w:rPr>
  </w:style>
  <w:style w:type="paragraph" w:customStyle="1" w:styleId="western">
    <w:name w:val="western"/>
    <w:basedOn w:val="Norml"/>
    <w:semiHidden/>
  </w:style>
  <w:style w:type="character" w:customStyle="1" w:styleId="keretesures-alcim121">
    <w:name w:val="keretesures-alcim121"/>
    <w:basedOn w:val="Bekezdsalapbettpusa"/>
  </w:style>
  <w:style w:type="table" w:styleId="Rcsostblzat">
    <w:name w:val="Table Grid"/>
    <w:basedOn w:val="Normltblzat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2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Hankovszky Tamás</vt:lpstr>
    </vt:vector>
  </TitlesOfParts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Hankovszky Tamás</dc:title>
  <dc:subject/>
  <dc:creator>Hankovszky Tamás</dc:creator>
  <cp:keywords/>
  <dc:description/>
  <cp:lastModifiedBy>Hankovszky Tamás</cp:lastModifiedBy>
  <cp:revision>2</cp:revision>
  <dcterms:created xsi:type="dcterms:W3CDTF">2026-01-17T13:32:00Z</dcterms:created>
  <dcterms:modified xsi:type="dcterms:W3CDTF">2026-01-17T13:32:00Z</dcterms:modified>
</cp:coreProperties>
</file>