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C6" w:rsidRDefault="002202C6" w:rsidP="002202C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Kortárs filozófia</w:t>
      </w:r>
    </w:p>
    <w:p w:rsidR="002202C6" w:rsidRPr="002202C6" w:rsidRDefault="002202C6" w:rsidP="002202C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transzcendentális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argumentáció három formája</w:t>
      </w:r>
    </w:p>
    <w:p w:rsidR="002202C6" w:rsidRDefault="002202C6" w:rsidP="002202C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Előadás</w:t>
      </w:r>
    </w:p>
    <w:p w:rsidR="002202C6" w:rsidRDefault="002202C6" w:rsidP="002202C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2C6" w:rsidRPr="002202C6" w:rsidRDefault="002202C6" w:rsidP="002202C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kortárs filozófia egyik, hosszú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tradícióval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rendelkező és pontosan kimunkált formája a transzcendentális argumentáció. Ez különféle áramlatokon és kontextusokon belül bukkan fel a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kortárs gondolkodásban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A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kurzus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ebbe nyújt bevezetést. Thomas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Nagel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az angolszász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analitikus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filozófián belül használja ezt az érvelést, Weissmahr Béla a transzcendentális neotomizmus képviselőjeként, míg Karl-Otto Apel a német transzcendentálpragmatika legjelentősebb alakjaként. </w:t>
      </w:r>
    </w:p>
    <w:p w:rsidR="002202C6" w:rsidRPr="002202C6" w:rsidRDefault="002202C6" w:rsidP="002202C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2C6">
        <w:rPr>
          <w:rFonts w:ascii="Times New Roman" w:eastAsia="Calibri" w:hAnsi="Times New Roman" w:cs="Times New Roman"/>
          <w:b/>
          <w:sz w:val="24"/>
          <w:szCs w:val="24"/>
        </w:rPr>
        <w:t>Oktató:</w:t>
      </w:r>
      <w:r w:rsidRPr="002202C6">
        <w:rPr>
          <w:rFonts w:ascii="Times New Roman" w:eastAsia="Calibri" w:hAnsi="Times New Roman" w:cs="Times New Roman"/>
          <w:sz w:val="24"/>
          <w:szCs w:val="24"/>
        </w:rPr>
        <w:t xml:space="preserve"> Szombath Attila, hab. </w:t>
      </w:r>
      <w:proofErr w:type="gramStart"/>
      <w:r w:rsidRPr="002202C6">
        <w:rPr>
          <w:rFonts w:ascii="Times New Roman" w:eastAsia="Calibri" w:hAnsi="Times New Roman" w:cs="Times New Roman"/>
          <w:sz w:val="24"/>
          <w:szCs w:val="24"/>
        </w:rPr>
        <w:t>egy</w:t>
      </w:r>
      <w:proofErr w:type="gramEnd"/>
      <w:r w:rsidRPr="002202C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202C6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2202C6">
        <w:rPr>
          <w:rFonts w:ascii="Times New Roman" w:eastAsia="Calibri" w:hAnsi="Times New Roman" w:cs="Times New Roman"/>
          <w:sz w:val="24"/>
          <w:szCs w:val="24"/>
        </w:rPr>
        <w:t>. (</w:t>
      </w:r>
      <w:hyperlink r:id="rId5" w:history="1">
        <w:r w:rsidRPr="002202C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szombath@btk.ppke.hu</w:t>
        </w:r>
      </w:hyperlink>
      <w:r w:rsidRPr="002202C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02C6" w:rsidRPr="002202C6" w:rsidRDefault="002202C6" w:rsidP="002202C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2C6">
        <w:rPr>
          <w:rFonts w:ascii="Times New Roman" w:eastAsia="Calibri" w:hAnsi="Times New Roman" w:cs="Times New Roman"/>
          <w:b/>
          <w:sz w:val="24"/>
          <w:szCs w:val="24"/>
        </w:rPr>
        <w:t>Időpont: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szerda, 14:30-16:00</w:t>
      </w:r>
    </w:p>
    <w:p w:rsidR="002202C6" w:rsidRPr="002202C6" w:rsidRDefault="002202C6" w:rsidP="002202C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2C6">
        <w:rPr>
          <w:rFonts w:ascii="Times New Roman" w:eastAsia="Calibri" w:hAnsi="Times New Roman" w:cs="Times New Roman"/>
          <w:b/>
          <w:sz w:val="24"/>
          <w:szCs w:val="24"/>
        </w:rPr>
        <w:t>Hely: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D702</w:t>
      </w:r>
    </w:p>
    <w:p w:rsidR="002202C6" w:rsidRPr="002202C6" w:rsidRDefault="002202C6" w:rsidP="002202C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2C6">
        <w:rPr>
          <w:rFonts w:ascii="Times New Roman" w:eastAsia="Calibri" w:hAnsi="Times New Roman" w:cs="Times New Roman"/>
          <w:b/>
          <w:sz w:val="24"/>
          <w:szCs w:val="24"/>
        </w:rPr>
        <w:t xml:space="preserve">Követelmények: </w:t>
      </w:r>
      <w:r w:rsidRPr="002202C6">
        <w:rPr>
          <w:rFonts w:ascii="Times New Roman" w:eastAsia="Calibri" w:hAnsi="Times New Roman" w:cs="Times New Roman"/>
          <w:sz w:val="24"/>
          <w:szCs w:val="24"/>
        </w:rPr>
        <w:t xml:space="preserve">referátum, zárthelyi, óralátogatás, </w:t>
      </w:r>
      <w:proofErr w:type="gramStart"/>
      <w:r w:rsidRPr="002202C6">
        <w:rPr>
          <w:rFonts w:ascii="Times New Roman" w:eastAsia="Calibri" w:hAnsi="Times New Roman" w:cs="Times New Roman"/>
          <w:sz w:val="24"/>
          <w:szCs w:val="24"/>
        </w:rPr>
        <w:t>aktív</w:t>
      </w:r>
      <w:proofErr w:type="gramEnd"/>
      <w:r w:rsidRPr="002202C6">
        <w:rPr>
          <w:rFonts w:ascii="Times New Roman" w:eastAsia="Calibri" w:hAnsi="Times New Roman" w:cs="Times New Roman"/>
          <w:sz w:val="24"/>
          <w:szCs w:val="24"/>
        </w:rPr>
        <w:t xml:space="preserve"> részvétel</w:t>
      </w:r>
    </w:p>
    <w:p w:rsidR="002202C6" w:rsidRDefault="002202C6" w:rsidP="002202C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02C6">
        <w:rPr>
          <w:rFonts w:ascii="Times New Roman" w:eastAsia="Calibri" w:hAnsi="Times New Roman" w:cs="Times New Roman"/>
          <w:b/>
          <w:sz w:val="24"/>
          <w:szCs w:val="24"/>
        </w:rPr>
        <w:t>Kötelező irodalom:</w:t>
      </w:r>
    </w:p>
    <w:p w:rsidR="002202C6" w:rsidRDefault="002202C6" w:rsidP="00AD207C">
      <w:pPr>
        <w:pStyle w:val="Listaszerbekezds"/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2C6">
        <w:rPr>
          <w:rFonts w:ascii="Times New Roman" w:eastAsia="Calibri" w:hAnsi="Times New Roman" w:cs="Times New Roman"/>
          <w:sz w:val="24"/>
          <w:szCs w:val="24"/>
        </w:rPr>
        <w:t xml:space="preserve">Thomas </w:t>
      </w:r>
      <w:proofErr w:type="spellStart"/>
      <w:r w:rsidRPr="002202C6">
        <w:rPr>
          <w:rFonts w:ascii="Times New Roman" w:eastAsia="Calibri" w:hAnsi="Times New Roman" w:cs="Times New Roman"/>
          <w:sz w:val="24"/>
          <w:szCs w:val="24"/>
        </w:rPr>
        <w:t>Nagel</w:t>
      </w:r>
      <w:proofErr w:type="spellEnd"/>
      <w:r w:rsidRPr="002202C6">
        <w:rPr>
          <w:rFonts w:ascii="Times New Roman" w:eastAsia="Calibri" w:hAnsi="Times New Roman" w:cs="Times New Roman"/>
          <w:sz w:val="24"/>
          <w:szCs w:val="24"/>
        </w:rPr>
        <w:t>: Az utolsó szó, 1. és 2. fejezet</w:t>
      </w:r>
      <w:r>
        <w:rPr>
          <w:rFonts w:ascii="Times New Roman" w:eastAsia="Calibri" w:hAnsi="Times New Roman" w:cs="Times New Roman"/>
          <w:sz w:val="24"/>
          <w:szCs w:val="24"/>
        </w:rPr>
        <w:t>, Európa, Bp., 1998. 9-54. o.</w:t>
      </w:r>
    </w:p>
    <w:p w:rsidR="002202C6" w:rsidRDefault="002202C6" w:rsidP="00AD207C">
      <w:pPr>
        <w:pStyle w:val="Listaszerbekezds"/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Weissmahr Béla: </w:t>
      </w:r>
      <w:r w:rsidR="00AD207C">
        <w:rPr>
          <w:rFonts w:ascii="Times New Roman" w:eastAsia="Calibri" w:hAnsi="Times New Roman" w:cs="Times New Roman"/>
          <w:sz w:val="24"/>
          <w:szCs w:val="24"/>
        </w:rPr>
        <w:t xml:space="preserve">Az emberi lét értelme, Akadémiai, Bp., 2012, 61-79, 186-201. o. </w:t>
      </w:r>
    </w:p>
    <w:p w:rsidR="00AD207C" w:rsidRPr="002202C6" w:rsidRDefault="00244D1E" w:rsidP="00AD207C">
      <w:pPr>
        <w:pStyle w:val="Listaszerbekezds"/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Karl-O</w:t>
      </w:r>
      <w:bookmarkStart w:id="0" w:name="_GoBack"/>
      <w:bookmarkEnd w:id="0"/>
      <w:r w:rsidR="00AD207C">
        <w:rPr>
          <w:rFonts w:ascii="Times New Roman" w:eastAsia="Calibri" w:hAnsi="Times New Roman" w:cs="Times New Roman"/>
          <w:sz w:val="24"/>
          <w:szCs w:val="24"/>
        </w:rPr>
        <w:t xml:space="preserve">tto Apel: Első filozófia – ma? in: A transzcendentálpragmatikai diskurzuselmélet, L’Harmattan, Bp., 2015, 53-90. </w:t>
      </w:r>
    </w:p>
    <w:p w:rsidR="002202C6" w:rsidRDefault="002202C6" w:rsidP="00AD207C">
      <w:pPr>
        <w:spacing w:line="360" w:lineRule="auto"/>
        <w:jc w:val="both"/>
        <w:rPr>
          <w:b/>
        </w:rPr>
      </w:pPr>
    </w:p>
    <w:p w:rsidR="002202C6" w:rsidRDefault="002202C6" w:rsidP="002202C6">
      <w:pPr>
        <w:jc w:val="both"/>
        <w:rPr>
          <w:b/>
        </w:rPr>
      </w:pPr>
    </w:p>
    <w:p w:rsidR="002202C6" w:rsidRDefault="002202C6" w:rsidP="002202C6">
      <w:pPr>
        <w:jc w:val="both"/>
        <w:rPr>
          <w:b/>
        </w:rPr>
      </w:pPr>
    </w:p>
    <w:p w:rsidR="002202C6" w:rsidRDefault="002202C6" w:rsidP="002202C6">
      <w:pPr>
        <w:jc w:val="both"/>
        <w:rPr>
          <w:b/>
        </w:rPr>
      </w:pPr>
    </w:p>
    <w:p w:rsidR="002202C6" w:rsidRDefault="002202C6" w:rsidP="002202C6">
      <w:pPr>
        <w:jc w:val="both"/>
        <w:rPr>
          <w:b/>
        </w:rPr>
      </w:pPr>
    </w:p>
    <w:p w:rsidR="002202C6" w:rsidRDefault="002202C6" w:rsidP="002202C6">
      <w:pPr>
        <w:jc w:val="both"/>
        <w:rPr>
          <w:b/>
        </w:rPr>
      </w:pPr>
    </w:p>
    <w:p w:rsidR="002202C6" w:rsidRDefault="002202C6" w:rsidP="002202C6">
      <w:pPr>
        <w:jc w:val="both"/>
        <w:rPr>
          <w:b/>
        </w:rPr>
      </w:pPr>
    </w:p>
    <w:p w:rsidR="002202C6" w:rsidRDefault="002202C6" w:rsidP="002202C6">
      <w:pPr>
        <w:jc w:val="both"/>
        <w:rPr>
          <w:b/>
        </w:rPr>
      </w:pPr>
    </w:p>
    <w:p w:rsidR="002202C6" w:rsidRDefault="002202C6" w:rsidP="002202C6">
      <w:pPr>
        <w:jc w:val="both"/>
        <w:rPr>
          <w:b/>
        </w:rPr>
      </w:pPr>
    </w:p>
    <w:p w:rsidR="002202C6" w:rsidRDefault="002202C6" w:rsidP="002202C6">
      <w:pPr>
        <w:jc w:val="both"/>
        <w:rPr>
          <w:b/>
        </w:rPr>
      </w:pPr>
    </w:p>
    <w:p w:rsidR="002202C6" w:rsidRDefault="002202C6" w:rsidP="002202C6">
      <w:pPr>
        <w:jc w:val="both"/>
        <w:rPr>
          <w:b/>
        </w:rPr>
      </w:pPr>
    </w:p>
    <w:p w:rsidR="002202C6" w:rsidRDefault="002202C6" w:rsidP="002202C6">
      <w:pPr>
        <w:jc w:val="both"/>
        <w:rPr>
          <w:b/>
        </w:rPr>
      </w:pPr>
    </w:p>
    <w:p w:rsidR="002202C6" w:rsidRDefault="002202C6" w:rsidP="002202C6">
      <w:pPr>
        <w:jc w:val="both"/>
        <w:rPr>
          <w:b/>
        </w:rPr>
      </w:pPr>
    </w:p>
    <w:p w:rsidR="002202C6" w:rsidRDefault="002202C6" w:rsidP="002202C6">
      <w:pPr>
        <w:jc w:val="both"/>
        <w:rPr>
          <w:b/>
        </w:rPr>
      </w:pPr>
    </w:p>
    <w:p w:rsidR="002202C6" w:rsidRDefault="002202C6" w:rsidP="002202C6">
      <w:pPr>
        <w:jc w:val="both"/>
        <w:rPr>
          <w:b/>
        </w:rPr>
      </w:pPr>
    </w:p>
    <w:p w:rsidR="002202C6" w:rsidRDefault="002202C6" w:rsidP="002202C6">
      <w:pPr>
        <w:jc w:val="both"/>
        <w:rPr>
          <w:b/>
        </w:rPr>
      </w:pPr>
    </w:p>
    <w:p w:rsidR="002202C6" w:rsidRDefault="002202C6" w:rsidP="002202C6">
      <w:pPr>
        <w:jc w:val="both"/>
        <w:rPr>
          <w:b/>
        </w:rPr>
      </w:pPr>
    </w:p>
    <w:p w:rsidR="002202C6" w:rsidRDefault="002202C6" w:rsidP="002202C6">
      <w:pPr>
        <w:jc w:val="both"/>
        <w:rPr>
          <w:b/>
        </w:rPr>
      </w:pPr>
    </w:p>
    <w:p w:rsidR="002202C6" w:rsidRDefault="002202C6" w:rsidP="002202C6">
      <w:pPr>
        <w:jc w:val="both"/>
        <w:rPr>
          <w:b/>
        </w:rPr>
      </w:pPr>
      <w:r>
        <w:rPr>
          <w:b/>
        </w:rPr>
        <w:t>14:30-16:00: Kortárs filozófia, MA2, D702, Előadás 7 fő</w:t>
      </w:r>
    </w:p>
    <w:p w:rsidR="007A5FD5" w:rsidRDefault="007A5FD5"/>
    <w:sectPr w:rsidR="007A5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A53E2"/>
    <w:multiLevelType w:val="hybridMultilevel"/>
    <w:tmpl w:val="85A80A5C"/>
    <w:lvl w:ilvl="0" w:tplc="F14C740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C6"/>
    <w:rsid w:val="002202C6"/>
    <w:rsid w:val="00244D1E"/>
    <w:rsid w:val="007A5FD5"/>
    <w:rsid w:val="00AD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32E7"/>
  <w15:chartTrackingRefBased/>
  <w15:docId w15:val="{B4A1BF6D-F48F-47A4-8B49-A30E91FE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02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0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ombath@btk.ppk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</dc:creator>
  <cp:keywords/>
  <dc:description/>
  <cp:lastModifiedBy>Attila</cp:lastModifiedBy>
  <cp:revision>2</cp:revision>
  <dcterms:created xsi:type="dcterms:W3CDTF">2024-02-15T01:49:00Z</dcterms:created>
  <dcterms:modified xsi:type="dcterms:W3CDTF">2024-02-19T15:20:00Z</dcterms:modified>
</cp:coreProperties>
</file>