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0CA5" w14:textId="77777777" w:rsidR="00583F67" w:rsidRPr="003829D6" w:rsidRDefault="00657F8F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Pázmány Bölcs-Ész Országos Tanulmányi V</w:t>
      </w:r>
      <w:r w:rsidR="00583F67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erseny</w:t>
      </w:r>
    </w:p>
    <w:p w14:paraId="40FAF94C" w14:textId="0E3CF41E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v</w:t>
      </w:r>
      <w:r w:rsidR="00425013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</w:t>
      </w:r>
      <w:r w:rsidR="00727D2F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rsenykiírás és szabályzat a 2023/2024</w:t>
      </w: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. tanévre</w:t>
      </w:r>
    </w:p>
    <w:p w14:paraId="773AACE7" w14:textId="77777777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</w:p>
    <w:p w14:paraId="21080106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meghirdetője</w:t>
      </w:r>
    </w:p>
    <w:p w14:paraId="4B1BF44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 és Társadalomtudományi Kar (PPKE BTK)</w:t>
      </w:r>
    </w:p>
    <w:p w14:paraId="0A7660D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A6E0247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célja</w:t>
      </w:r>
    </w:p>
    <w:p w14:paraId="695A466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verseny célja, hogy a PPKE BTK által kutatott és oktatott tudományterületek (bölcsészet- és társadalomtudományok) iránt felkeltse a középiskolások érdeklődését, valamint segítse és ösztönözze az értelmiségi pályára készülő diákokat a pályaválasztásban. </w:t>
      </w:r>
    </w:p>
    <w:p w14:paraId="474B5A0C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Őszi félév: egyéni verseny</w:t>
      </w:r>
    </w:p>
    <w:p w14:paraId="30CA518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Tavaszi félév: csapatverseny</w:t>
      </w:r>
    </w:p>
    <w:p w14:paraId="5CA699B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E63A3A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jelentkezés és a részvétel feltételei</w:t>
      </w:r>
    </w:p>
    <w:p w14:paraId="4F89EA8D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Az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egyéni 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11–12. évfolyamos tanulók jelentkezhetnek magyarországi középiskolákból (a régészet szekcióba 9–12. évfolyamos tanulók) a Kar honlapján található online jelentkezési lap kitöltésével (erről bővebben lásd alább, </w:t>
      </w:r>
      <w:r w:rsidRPr="003829D6">
        <w:rPr>
          <w:rFonts w:ascii="PT Sans" w:eastAsia="Times New Roman" w:hAnsi="PT Sans" w:cs="Times New Roman"/>
          <w:bCs/>
          <w:i/>
          <w:sz w:val="24"/>
          <w:szCs w:val="24"/>
          <w:lang w:eastAsia="hu-HU"/>
        </w:rPr>
        <w:t xml:space="preserve">A nevezés módja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címszó alatti információkat).</w:t>
      </w:r>
    </w:p>
    <w:p w14:paraId="78F7F59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csapatversenyre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3 fős magyarországi középiskolai csapatok nevezhetnek. A csapattagok lehetnek osztálytársak, de különböző iskolákból vagy egy iskolán belül, különböző évfolyamokról is toborozhatóak.</w:t>
      </w:r>
    </w:p>
    <w:p w14:paraId="5B94AD6A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1CDB18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versenyen való részvétel kizáró okai</w:t>
      </w:r>
    </w:p>
    <w:p w14:paraId="7B20186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megoldások teljes egyezése (másolás), a határidők be nem tartása.</w:t>
      </w:r>
    </w:p>
    <w:p w14:paraId="19540BCB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48553A6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jogorvoslat menete</w:t>
      </w:r>
    </w:p>
    <w:p w14:paraId="08AE11C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szabálysértések kivizsgálása és a jogorvoslat az illetékes szakos vizsgabizottság hatáskörébe tartozik.</w:t>
      </w:r>
    </w:p>
    <w:p w14:paraId="18EBE38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2C8426F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lastRenderedPageBreak/>
        <w:t>Választható egyéni szekciók:</w:t>
      </w:r>
    </w:p>
    <w:p w14:paraId="64D73CF9" w14:textId="54463127" w:rsidR="003829D6" w:rsidRPr="003829D6" w:rsidRDefault="00727D2F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Irodalom, </w:t>
      </w:r>
      <w:r w:rsidR="003829D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régészet, történelem</w:t>
      </w:r>
      <w:r w:rsidR="006542B8" w:rsidRPr="00727D2F">
        <w:rPr>
          <w:rFonts w:ascii="PT Sans" w:eastAsia="Times New Roman" w:hAnsi="PT Sans" w:cs="Times New Roman"/>
          <w:bCs/>
          <w:sz w:val="24"/>
          <w:szCs w:val="24"/>
          <w:lang w:eastAsia="hu-HU"/>
        </w:rPr>
        <w:t>, spanyol</w:t>
      </w:r>
      <w:r w:rsidR="003829D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</w:t>
      </w:r>
    </w:p>
    <w:p w14:paraId="304B1099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Egy versenyző (ugyanabban a versenyidőszakban) több tárgyból is jelentkezhet a versenyre.</w:t>
      </w:r>
    </w:p>
    <w:p w14:paraId="4AC885E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választható tárgyak feladatsorai nem különböznek a különböző évfolyamon tanulók esetében. (Sok éves versenyszervezői tapasztalatunk azt mutatja, hogy a különböző évfolyamok tanulóinak döntőbeli eredményessége között nincs lényegi különbség.) A korábbi évek feladatsorait nem tesszük közzé a Kar honlapján.</w:t>
      </w:r>
    </w:p>
    <w:p w14:paraId="09C53A2C" w14:textId="19A9762D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csapatverseny komplex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, több tantárgyból áll, irodalom, történelem és a </w:t>
      </w:r>
      <w:r w:rsidR="00D6106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meghirdetett </w:t>
      </w:r>
      <w:bookmarkStart w:id="0" w:name="_GoBack"/>
      <w:bookmarkEnd w:id="0"/>
      <w:r w:rsidR="00D61063">
        <w:rPr>
          <w:rFonts w:ascii="PT Sans" w:eastAsia="Times New Roman" w:hAnsi="PT Sans" w:cs="Times New Roman"/>
          <w:bCs/>
          <w:sz w:val="24"/>
          <w:szCs w:val="24"/>
          <w:lang w:eastAsia="hu-HU"/>
        </w:rPr>
        <w:t>szaktárgyak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részterületeiből épül fel.</w:t>
      </w:r>
    </w:p>
    <w:p w14:paraId="6E55624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nevezés módja, határideje</w:t>
      </w:r>
    </w:p>
    <w:p w14:paraId="5CA7414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nevezés az egyéni és a csapatversenyben is az online jelentkezési lap kitöltésével és beküldésével történik. A jelentkezési lap – melyben a jelentkező/k neve és évfolyama, iskolájának neve és címe, valamint a jelentkező/k felkészítő tanárának neve szerepel – megtalálható a Kar honlapján </w:t>
      </w:r>
    </w:p>
    <w:p w14:paraId="177F85AD" w14:textId="77777777" w:rsidR="003829D6" w:rsidRPr="003829D6" w:rsidRDefault="00B02C44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  <w:hyperlink r:id="rId6" w:history="1">
        <w:r w:rsidR="003829D6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https://btk.ppke.hu/intro/pazmany-bolcs-esz-tanulmanyi-verseny</w:t>
        </w:r>
      </w:hyperlink>
    </w:p>
    <w:p w14:paraId="12380BA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</w:p>
    <w:p w14:paraId="0B22C16F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Egyéni verseny menete:</w:t>
      </w:r>
    </w:p>
    <w:p w14:paraId="4F637DAA" w14:textId="0CBD888C" w:rsidR="00AA5FDB" w:rsidRPr="003829D6" w:rsidRDefault="0051418A" w:rsidP="00AD342F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Nevezni 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202</w:t>
      </w:r>
      <w:r w:rsidR="00727D2F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3</w:t>
      </w:r>
      <w:r w:rsidR="00583F67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. szeptember</w:t>
      </w:r>
      <w:r w:rsidR="00A9622E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9104D7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1</w:t>
      </w:r>
      <w:r w:rsidR="00B20EE4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8</w:t>
      </w:r>
      <w:r w:rsidR="00013A69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. </w:t>
      </w:r>
      <w:r w:rsidR="00013A69"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202</w:t>
      </w:r>
      <w:r w:rsidR="00727D2F">
        <w:rPr>
          <w:rFonts w:ascii="PT Sans" w:eastAsia="Times New Roman" w:hAnsi="PT Sans" w:cs="Times New Roman"/>
          <w:bCs/>
          <w:sz w:val="24"/>
          <w:szCs w:val="24"/>
          <w:lang w:eastAsia="hu-HU"/>
        </w:rPr>
        <w:t>3</w:t>
      </w:r>
      <w:r w:rsidR="00533307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. október </w:t>
      </w:r>
      <w:r w:rsidR="00A74A29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1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>6</w:t>
      </w:r>
      <w:r w:rsidR="00583F67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 között lehet.</w:t>
      </w:r>
    </w:p>
    <w:p w14:paraId="36D8C165" w14:textId="77777777" w:rsidR="00583F67" w:rsidRPr="003829D6" w:rsidRDefault="00583F67" w:rsidP="00FD3BC5">
      <w:pPr>
        <w:spacing w:after="0" w:line="360" w:lineRule="auto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Nevezési díj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</w:t>
      </w:r>
      <w:r w:rsidR="00BF23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nincs</w:t>
      </w:r>
      <w:r w:rsidR="00AD342F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.</w:t>
      </w:r>
    </w:p>
    <w:p w14:paraId="348002FA" w14:textId="77777777" w:rsidR="002E3BB4" w:rsidRPr="003829D6" w:rsidRDefault="002E3BB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2DFF0F02" w14:textId="77777777" w:rsidR="00583F67" w:rsidRPr="003829D6" w:rsidRDefault="00583F67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Fordulók</w:t>
      </w:r>
    </w:p>
    <w:p w14:paraId="2CEF7F91" w14:textId="77777777" w:rsidR="00917859" w:rsidRPr="003829D6" w:rsidRDefault="00917859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1. forduló</w:t>
      </w:r>
      <w:r w:rsidR="002E3BB4"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írásbeli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</w:p>
    <w:p w14:paraId="7AFDAE38" w14:textId="505CBBD1" w:rsidR="00017D19" w:rsidRPr="003829D6" w:rsidRDefault="00120E48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202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3</w:t>
      </w:r>
      <w:r w:rsidR="00013A69">
        <w:rPr>
          <w:rFonts w:ascii="PT Sans" w:eastAsia="Times New Roman" w:hAnsi="PT Sans" w:cs="Times New Roman"/>
          <w:sz w:val="24"/>
          <w:szCs w:val="24"/>
          <w:lang w:eastAsia="hu-HU"/>
        </w:rPr>
        <w:t>. október 1</w:t>
      </w:r>
      <w:r w:rsidR="006946A8">
        <w:rPr>
          <w:rFonts w:ascii="PT Sans" w:eastAsia="Times New Roman" w:hAnsi="PT Sans" w:cs="Times New Roman"/>
          <w:sz w:val="24"/>
          <w:szCs w:val="24"/>
          <w:lang w:eastAsia="hu-HU"/>
        </w:rPr>
        <w:t>0</w:t>
      </w:r>
      <w:r w:rsidR="005670B5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 1. forduló feladatai 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megjelennek a Kar honlapj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án.</w:t>
      </w:r>
    </w:p>
    <w:p w14:paraId="7111A4A9" w14:textId="70F34B8E" w:rsidR="002E3BB4" w:rsidRPr="003829D6" w:rsidRDefault="00120E48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Visszaküldési határidő: 202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3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. november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8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(éjfélig)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CE6CD39" w14:textId="7E8C15B6" w:rsidR="004F14C3" w:rsidRPr="003829D6" w:rsidRDefault="00CD537D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továbbjutók é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rtesítés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ének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határid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eje</w:t>
      </w:r>
      <w:r w:rsidR="0051418A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 202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3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november </w:t>
      </w:r>
      <w:r w:rsidR="00DD3E1F">
        <w:rPr>
          <w:rFonts w:ascii="PT Sans" w:eastAsia="Times New Roman" w:hAnsi="PT Sans" w:cs="Times New Roman"/>
          <w:sz w:val="24"/>
          <w:szCs w:val="24"/>
          <w:lang w:eastAsia="hu-HU"/>
        </w:rPr>
        <w:t>14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4D5BD7DA" w14:textId="77777777" w:rsidR="00917859" w:rsidRPr="003829D6" w:rsidRDefault="004F14C3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 2. fordulójába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 a versenyzők juthatnak tovább, akik az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1. fordulóban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megszerezhető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proofErr w:type="spellStart"/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összpontszám</w:t>
      </w:r>
      <w:proofErr w:type="spellEnd"/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minimum 50%-át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elérték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6B3EEA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 a 2. fordulóba továbbjutók száma valamelyik tárgyból nem éri el a 25 főt, abból a tárgyból nem folytatódik tovább a verseny.</w:t>
      </w:r>
    </w:p>
    <w:p w14:paraId="57749F5C" w14:textId="77777777" w:rsidR="00017D19" w:rsidRPr="003829D6" w:rsidRDefault="00017D19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0126C1B" w14:textId="77777777" w:rsidR="00917859" w:rsidRPr="003829D6" w:rsidRDefault="002E3BB4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2. forduló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írásbeli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DCA1FEC" w14:textId="40A68C2F" w:rsidR="00017D19" w:rsidRPr="003829D6" w:rsidRDefault="00DD3E1F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202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3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november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15</w:t>
      </w:r>
      <w:r w:rsidR="005670B5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2. forduló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feladat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ai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megjelennek a Kar honlapján.</w:t>
      </w:r>
    </w:p>
    <w:p w14:paraId="5E3791F3" w14:textId="229161C8" w:rsidR="004F14C3" w:rsidRPr="003829D6" w:rsidRDefault="00120E48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Visszaküldési határidő: 202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3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december 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11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(éjfélig)</w:t>
      </w:r>
    </w:p>
    <w:p w14:paraId="14E702BA" w14:textId="774C8261" w:rsidR="002E3BB4" w:rsidRPr="003829D6" w:rsidRDefault="00917859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döntőbe jutók értesítésének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határideje: 2023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december </w:t>
      </w:r>
      <w:r w:rsidR="005670B5">
        <w:rPr>
          <w:rFonts w:ascii="PT Sans" w:eastAsia="Times New Roman" w:hAnsi="PT Sans" w:cs="Times New Roman"/>
          <w:sz w:val="24"/>
          <w:szCs w:val="24"/>
          <w:lang w:eastAsia="hu-HU"/>
        </w:rPr>
        <w:t>20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</w:p>
    <w:p w14:paraId="7D605F2D" w14:textId="77777777" w:rsidR="00CD537D" w:rsidRPr="003829D6" w:rsidRDefault="00CD537D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döntőbe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minden tárgyból 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az 1. és a 2. fordulóban szerzett (összesített) pontjai alapján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legjobb tíz versenyző jut be.</w:t>
      </w:r>
    </w:p>
    <w:p w14:paraId="753037BB" w14:textId="77777777" w:rsidR="00917859" w:rsidRPr="003829D6" w:rsidRDefault="00917859" w:rsidP="00917859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55D700D6" w14:textId="77777777" w:rsidR="0011720E" w:rsidRPr="003829D6" w:rsidRDefault="00917859" w:rsidP="00917859">
      <w:pPr>
        <w:spacing w:after="0" w:line="360" w:lineRule="auto"/>
        <w:ind w:left="1134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3. </w:t>
      </w:r>
      <w:r w:rsidR="002E3BB4"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forduló</w:t>
      </w:r>
      <w:r w:rsidR="002E3BB4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, országos döntő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68180AA" w14:textId="621399C0" w:rsidR="00583F67" w:rsidRPr="003829D6" w:rsidRDefault="00013A69" w:rsidP="00917859">
      <w:pPr>
        <w:spacing w:after="0" w:line="360" w:lineRule="auto"/>
        <w:ind w:left="1080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2023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január </w:t>
      </w:r>
      <w:r w:rsidR="00120E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>2</w:t>
      </w:r>
      <w:r w:rsidR="00B20EE4">
        <w:rPr>
          <w:rFonts w:ascii="PT Sans" w:eastAsia="Times New Roman" w:hAnsi="PT Sans" w:cs="Times New Roman"/>
          <w:sz w:val="24"/>
          <w:szCs w:val="24"/>
          <w:lang w:eastAsia="hu-HU"/>
        </w:rPr>
        <w:t>6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8E485A" w:rsidRPr="003829D6">
        <w:rPr>
          <w:rFonts w:ascii="PT Sans" w:eastAsia="Times New Roman" w:hAnsi="PT Sans" w:cs="Times New Roman"/>
          <w:sz w:val="24"/>
          <w:szCs w:val="24"/>
          <w:lang w:eastAsia="hu-HU"/>
        </w:rPr>
        <w:t>,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13.00 óra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2B39A4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H</w:t>
      </w:r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elyszín:</w:t>
      </w:r>
      <w:r w:rsidR="00D71448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PPKE BTK,</w:t>
      </w:r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proofErr w:type="spellStart"/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Sophianum</w:t>
      </w:r>
      <w:proofErr w:type="spellEnd"/>
      <w:r w:rsidR="005670B5">
        <w:rPr>
          <w:rFonts w:ascii="PT Sans" w:eastAsia="Times New Roman" w:hAnsi="PT Sans" w:cs="Times New Roman"/>
          <w:bCs/>
          <w:sz w:val="24"/>
          <w:szCs w:val="24"/>
          <w:lang w:eastAsia="hu-HU"/>
        </w:rPr>
        <w:t>,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Budapest Mikszáth</w:t>
      </w:r>
      <w:r w:rsidR="005670B5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Kálmán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tér 1.</w:t>
      </w:r>
    </w:p>
    <w:p w14:paraId="7131C25C" w14:textId="77777777" w:rsidR="00917859" w:rsidRPr="003829D6" w:rsidRDefault="00917859" w:rsidP="00917859">
      <w:pPr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írásbeli fordulók során szerzett pontjaikat a versenyzők nem viszik tovább a szóbeli döntőbe.</w:t>
      </w:r>
    </w:p>
    <w:p w14:paraId="1CFA4400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480F8226" w14:textId="77777777" w:rsidR="00445A44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z egyes fordulókból </w:t>
      </w: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továbbjut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ók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értesítésének módja</w:t>
      </w:r>
    </w:p>
    <w:p w14:paraId="1600D6F4" w14:textId="77777777" w:rsidR="00583F67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A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versenyzők a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nevezéskor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megadott e-mail cím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ük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re küldött üzenet formájában értesülnek az eredményről</w:t>
      </w:r>
      <w:r w:rsidR="00134472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.</w:t>
      </w:r>
      <w:r w:rsidR="00AA5FDB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E173F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versennyel kapcsolatos szakmai döntéseket a verseny</w:t>
      </w:r>
      <w:r w:rsidR="00D776FD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bizottságok hozzák. A szóbeli döntők 3 tagú szóbeli versenybizottságok előtt zajlanak</w:t>
      </w:r>
      <w:r w:rsidR="001344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39431EBD" w14:textId="77777777" w:rsidR="003867A5" w:rsidRPr="003829D6" w:rsidRDefault="003867A5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EFF192B" w14:textId="77777777" w:rsidR="00445A44" w:rsidRPr="003829D6" w:rsidRDefault="00583F67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Az 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eredmények közzétételének módja</w:t>
      </w:r>
    </w:p>
    <w:p w14:paraId="7B755EA9" w14:textId="77777777" w:rsidR="00620D0F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Az országos döntő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be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n helyezést elérő versenyzők neve,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valamint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felkészítő tanár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és iskoláj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neve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felkerül a PPKE BTK honlapjára és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FB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-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oldalára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60BD63A4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5CA47A4B" w14:textId="77777777" w:rsidR="00445A44" w:rsidRPr="003829D6" w:rsidRDefault="00445A44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7837D133" w14:textId="77777777" w:rsidR="000D5211" w:rsidRPr="000E07C7" w:rsidRDefault="00C5494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A szekciók</w:t>
      </w:r>
      <w:r w:rsidR="00583F67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első hár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om helyezett</w:t>
      </w: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je</w:t>
      </w:r>
      <w:r w:rsidR="003A1C02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értékes pénzjutalom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ban részesül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 alábbi módon:</w:t>
      </w:r>
    </w:p>
    <w:p w14:paraId="485852AF" w14:textId="15F27A02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150.000 Ft</w:t>
      </w:r>
    </w:p>
    <w:p w14:paraId="514B2E71" w14:textId="7EEF2FDB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100.000 Ft</w:t>
      </w:r>
    </w:p>
    <w:p w14:paraId="21EE0A51" w14:textId="756C0CE3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75.000 Ft</w:t>
      </w:r>
    </w:p>
    <w:p w14:paraId="2CF488C8" w14:textId="77DBB492" w:rsidR="00583F67" w:rsidRDefault="00991802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Az első helyezett diá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kot felkészítő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tanár 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bruttó 30.000 Ft értékű 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könyv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utalvány</w:t>
      </w: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ban részesül.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versenybizottság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fenntar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tj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ák maguknak a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jog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t, hogy 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szekciójukon belül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csak 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megfelelő szí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nvonalú 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döntős szereplés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esetén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hird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essenek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ki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első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helyezettet.</w:t>
      </w:r>
    </w:p>
    <w:p w14:paraId="30C12DB9" w14:textId="7E03F0EA" w:rsid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783E319F" w14:textId="1D3A281E" w:rsidR="00AA758C" w:rsidRP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Felvételi </w:t>
      </w:r>
      <w:r w:rsidR="00DC1C9F"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többlet</w:t>
      </w: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pontok</w:t>
      </w:r>
    </w:p>
    <w:p w14:paraId="0E791B48" w14:textId="7B1E8F6D" w:rsidR="00AA758C" w:rsidRPr="003829D6" w:rsidRDefault="003A038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Pázmány Bölcs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-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Ész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anulmányi verseny 1-5. helyezés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50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, a 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6-10. helyezés</w:t>
      </w:r>
      <w:r w:rsidR="00C66459"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25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pontot kap,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69107E" w:rsidRPr="0069107E">
        <w:rPr>
          <w:rFonts w:ascii="PT Sans" w:eastAsia="Times New Roman" w:hAnsi="PT Sans" w:cs="Times New Roman"/>
          <w:sz w:val="24"/>
          <w:szCs w:val="24"/>
          <w:lang w:eastAsia="hu-HU"/>
        </w:rPr>
        <w:t>amely bármely PPKE BTK által me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>ghirdetett szaknál beszámítható 2024. őszétől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7D242E49" w14:textId="77777777" w:rsidR="000D5211" w:rsidRDefault="000D5211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</w:p>
    <w:p w14:paraId="1F1344E6" w14:textId="1011277A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Csapatverseny</w:t>
      </w:r>
    </w:p>
    <w:p w14:paraId="4146FECD" w14:textId="6F787007" w:rsid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Nevezés: </w:t>
      </w:r>
      <w:r>
        <w:rPr>
          <w:rFonts w:ascii="PT Sans" w:eastAsia="Calibri" w:hAnsi="PT Sans" w:cs="Times New Roman"/>
          <w:color w:val="000000"/>
          <w:sz w:val="24"/>
          <w:szCs w:val="24"/>
        </w:rPr>
        <w:t>202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4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. 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február 21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>. – március 21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</w:p>
    <w:p w14:paraId="5BA9D0BE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Nevezési díj nincs.</w:t>
      </w:r>
    </w:p>
    <w:p w14:paraId="1CB9F3CC" w14:textId="5F174344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Az első forduló időpontja: 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>202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4. február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 xml:space="preserve"> 21</w:t>
      </w:r>
      <w:r w:rsidR="005670B5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</w:t>
      </w:r>
      <w:r w:rsidR="005670B5">
        <w:rPr>
          <w:rFonts w:ascii="PT Sans" w:eastAsia="Calibri" w:hAnsi="PT Sans" w:cs="Times New Roman"/>
          <w:color w:val="000000"/>
          <w:sz w:val="24"/>
          <w:szCs w:val="24"/>
        </w:rPr>
        <w:t>–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202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4. április 04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</w:t>
      </w:r>
    </w:p>
    <w:p w14:paraId="24CAACBB" w14:textId="77777777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verseny első fordulója online formában zajlik</w:t>
      </w:r>
    </w:p>
    <w:p w14:paraId="0E5150B0" w14:textId="6442F720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Az első fordulóból továbbjutó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k értesítésének határideje: 2024. április 12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.</w:t>
      </w:r>
    </w:p>
    <w:p w14:paraId="60911FBD" w14:textId="2612E87C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bCs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>Az országos szóbeli döntő időpontja: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 xml:space="preserve"> 2024.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május 1</w:t>
      </w:r>
      <w:r w:rsidR="003A0388">
        <w:rPr>
          <w:rFonts w:ascii="PT Sans" w:eastAsia="Calibri" w:hAnsi="PT Sans" w:cs="Times New Roman"/>
          <w:color w:val="000000"/>
          <w:sz w:val="24"/>
          <w:szCs w:val="24"/>
        </w:rPr>
        <w:t>0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="003A0388">
        <w:rPr>
          <w:rFonts w:ascii="PT Sans" w:eastAsia="Calibri" w:hAnsi="PT Sans" w:cs="Times New Roman"/>
          <w:color w:val="000000"/>
          <w:sz w:val="24"/>
          <w:szCs w:val="24"/>
        </w:rPr>
        <w:t xml:space="preserve"> péntek</w:t>
      </w:r>
    </w:p>
    <w:p w14:paraId="3A7B9184" w14:textId="6F17347A" w:rsidR="003829D6" w:rsidRPr="00197A8C" w:rsidRDefault="00B20EE4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csapatok a meghirdetett szaktárgyterületek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kreatív feladatai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közül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készíthetnek el egyet. </w:t>
      </w:r>
    </w:p>
    <w:p w14:paraId="318A5876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első fordulóból továbbjutók értesítésének módja</w:t>
      </w:r>
    </w:p>
    <w:p w14:paraId="237062BD" w14:textId="66DF6015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iCs/>
          <w:sz w:val="24"/>
          <w:szCs w:val="24"/>
          <w:lang w:eastAsia="hu-HU"/>
        </w:rPr>
        <w:t xml:space="preserve">A versenyzők a nevezéskor megadott e-mail címükre küldött üzenet formájában értesülnek az eredményről.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versennyel kapcsolatos szakmai döntéseket a versenybizottságok hozzák. A megadott tárhelyre feltöltött alkotásokat egy egyetemi oktatókból álló zsűri é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rtékeli. A </w:t>
      </w:r>
      <w:r w:rsidR="00B20EE4" w:rsidRPr="003A0388">
        <w:rPr>
          <w:rFonts w:ascii="PT Sans" w:eastAsia="Times New Roman" w:hAnsi="PT Sans" w:cs="Times New Roman"/>
          <w:bCs/>
          <w:sz w:val="24"/>
          <w:szCs w:val="24"/>
          <w:lang w:eastAsia="hu-HU"/>
        </w:rPr>
        <w:t>nyolc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legjobb alkotást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készítő csapat bekerül a csapatverseny májusi döntőjébe.</w:t>
      </w:r>
    </w:p>
    <w:p w14:paraId="2988A52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eredmények közzétételének módja</w:t>
      </w:r>
    </w:p>
    <w:p w14:paraId="7A34C7B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országos döntőben helyezést elérő versenyzők neve, valamint felkészítő tanáruk és iskolájuk neve felkerül a PPKE BTK honlapjára és FB-oldalára.</w:t>
      </w:r>
    </w:p>
    <w:p w14:paraId="4990FC43" w14:textId="77777777" w:rsidR="000D5211" w:rsidRDefault="000D5211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5DED607" w14:textId="7010A4D9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60C5B1DE" w14:textId="3F720BBF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csapatverseny első helyezettje</w:t>
      </w:r>
      <w:r w:rsidR="00033973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i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0D5211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300.000 Ft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pénzjutalomban részesül</w:t>
      </w:r>
      <w:r w:rsidR="00033973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nek. </w:t>
      </w:r>
      <w:r w:rsidR="00033973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első helyezett csapatot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fel</w:t>
      </w:r>
      <w:r w:rsidR="003A0388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készítő tanár </w:t>
      </w:r>
      <w:r w:rsidR="000D5211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bruttó 30.000 Ft értékű </w:t>
      </w:r>
      <w:r w:rsidR="003A0388">
        <w:rPr>
          <w:rFonts w:ascii="PT Sans" w:eastAsia="Times New Roman" w:hAnsi="PT Sans" w:cs="Times New Roman"/>
          <w:bCs/>
          <w:sz w:val="24"/>
          <w:szCs w:val="24"/>
          <w:lang w:eastAsia="hu-HU"/>
        </w:rPr>
        <w:t>könyvutalvány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ban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részesül. A versenybizottságok fenntartják maguknak a jogot, hogy a szekciójukon belül csak megfelelő színvonalú döntős szereplés esetén h</w:t>
      </w:r>
      <w:r w:rsidR="00033973">
        <w:rPr>
          <w:rFonts w:ascii="PT Sans" w:eastAsia="Times New Roman" w:hAnsi="PT Sans" w:cs="Times New Roman"/>
          <w:bCs/>
          <w:sz w:val="24"/>
          <w:szCs w:val="24"/>
          <w:lang w:eastAsia="hu-HU"/>
        </w:rPr>
        <w:t>irdessenek ki első helyezettet.</w:t>
      </w:r>
    </w:p>
    <w:p w14:paraId="1006B558" w14:textId="77777777" w:rsidR="003A0388" w:rsidRDefault="003A0388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3FF6C23" w14:textId="77777777" w:rsidR="00445A44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Jogi vonatkozások</w:t>
      </w:r>
    </w:p>
    <w:p w14:paraId="08E46604" w14:textId="77777777" w:rsidR="00533307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versennyel kapcsolatos és a honlapon található minden képi és írott anyag a versenyt szervező PPKE BTK szellemi tulajdona. Azok felhasználása, másolása, sokszorosítása kizárólag a szervező írásbeli hozzájárulásával lehetséges. </w:t>
      </w:r>
    </w:p>
    <w:p w14:paraId="3D2A5F20" w14:textId="77777777" w:rsidR="007D0866" w:rsidRPr="003829D6" w:rsidRDefault="007D0866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1D9026E5" w14:textId="77777777" w:rsidR="00A716F0" w:rsidRPr="003829D6" w:rsidRDefault="00A716F0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szervezők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elérhetősége</w:t>
      </w:r>
    </w:p>
    <w:p w14:paraId="3E30D19E" w14:textId="77777777" w:rsidR="00562014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</w:t>
      </w:r>
      <w:r w:rsidR="007D086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Társadalomtudományi Kar</w:t>
      </w:r>
    </w:p>
    <w:p w14:paraId="71E67D9A" w14:textId="77777777" w:rsidR="00562014" w:rsidRPr="003829D6" w:rsidRDefault="00033973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1088 Budapest, Mikszáth Kálmán tér 1.</w:t>
      </w:r>
    </w:p>
    <w:p w14:paraId="326D69AB" w14:textId="77777777" w:rsidR="00A716F0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Főkoordinátor: </w:t>
      </w:r>
      <w:r w:rsidR="00A716F0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Kissné Csorba Erika e-mail: </w:t>
      </w:r>
      <w:hyperlink r:id="rId7" w:history="1">
        <w:r w:rsidR="00A716F0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csorba.erika@btk.ppke.hu</w:t>
        </w:r>
      </w:hyperlink>
    </w:p>
    <w:p w14:paraId="2A7B8E2E" w14:textId="77777777" w:rsidR="00562014" w:rsidRPr="00562014" w:rsidRDefault="00A716F0" w:rsidP="00FD3BC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Honlap: </w:t>
      </w:r>
      <w:hyperlink r:id="rId8" w:history="1">
        <w:r w:rsidR="00562014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https://btk.ppke.hu/felvetelizoknek/pazmany-bolcs-esz-tanulmanyi-verseny</w:t>
        </w:r>
      </w:hyperlink>
    </w:p>
    <w:sectPr w:rsidR="00562014" w:rsidRPr="0056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814"/>
    <w:multiLevelType w:val="multilevel"/>
    <w:tmpl w:val="0FC2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614C"/>
    <w:multiLevelType w:val="multilevel"/>
    <w:tmpl w:val="E8D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3101"/>
    <w:multiLevelType w:val="multilevel"/>
    <w:tmpl w:val="7F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078F2"/>
    <w:multiLevelType w:val="multilevel"/>
    <w:tmpl w:val="6BC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45AFA"/>
    <w:multiLevelType w:val="multilevel"/>
    <w:tmpl w:val="C95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11FAF"/>
    <w:multiLevelType w:val="hybridMultilevel"/>
    <w:tmpl w:val="0B1ED0AC"/>
    <w:lvl w:ilvl="0" w:tplc="FF7A6E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4798B"/>
    <w:multiLevelType w:val="multilevel"/>
    <w:tmpl w:val="308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10B14"/>
    <w:multiLevelType w:val="multilevel"/>
    <w:tmpl w:val="5F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B2E40"/>
    <w:multiLevelType w:val="multilevel"/>
    <w:tmpl w:val="F29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D4EA4"/>
    <w:multiLevelType w:val="multilevel"/>
    <w:tmpl w:val="4AF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A76B5"/>
    <w:multiLevelType w:val="multilevel"/>
    <w:tmpl w:val="8CA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4F5"/>
    <w:multiLevelType w:val="hybridMultilevel"/>
    <w:tmpl w:val="601EDBA0"/>
    <w:lvl w:ilvl="0" w:tplc="CB725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5B3C"/>
    <w:multiLevelType w:val="hybridMultilevel"/>
    <w:tmpl w:val="11C298E6"/>
    <w:lvl w:ilvl="0" w:tplc="4DC6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A2477"/>
    <w:multiLevelType w:val="hybridMultilevel"/>
    <w:tmpl w:val="5BA41ABA"/>
    <w:lvl w:ilvl="0" w:tplc="9306B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6517"/>
    <w:multiLevelType w:val="multilevel"/>
    <w:tmpl w:val="C47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35770"/>
    <w:multiLevelType w:val="multilevel"/>
    <w:tmpl w:val="72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35A"/>
    <w:multiLevelType w:val="multilevel"/>
    <w:tmpl w:val="6DD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C7D6C"/>
    <w:multiLevelType w:val="hybridMultilevel"/>
    <w:tmpl w:val="74EE4DB4"/>
    <w:lvl w:ilvl="0" w:tplc="AA9A8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5CF0364"/>
    <w:multiLevelType w:val="multilevel"/>
    <w:tmpl w:val="669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2058B"/>
    <w:multiLevelType w:val="hybridMultilevel"/>
    <w:tmpl w:val="4A90EBA6"/>
    <w:lvl w:ilvl="0" w:tplc="D94A989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25F4B"/>
    <w:multiLevelType w:val="multilevel"/>
    <w:tmpl w:val="34F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D5A6A"/>
    <w:multiLevelType w:val="multilevel"/>
    <w:tmpl w:val="CF5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70D52"/>
    <w:multiLevelType w:val="multilevel"/>
    <w:tmpl w:val="582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45365"/>
    <w:multiLevelType w:val="multilevel"/>
    <w:tmpl w:val="318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169C2"/>
    <w:multiLevelType w:val="multilevel"/>
    <w:tmpl w:val="0B38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23"/>
  </w:num>
  <w:num w:numId="7">
    <w:abstractNumId w:val="3"/>
  </w:num>
  <w:num w:numId="8">
    <w:abstractNumId w:val="6"/>
  </w:num>
  <w:num w:numId="9">
    <w:abstractNumId w:val="24"/>
  </w:num>
  <w:num w:numId="10">
    <w:abstractNumId w:val="18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4"/>
  </w:num>
  <w:num w:numId="16">
    <w:abstractNumId w:val="7"/>
  </w:num>
  <w:num w:numId="17">
    <w:abstractNumId w:val="2"/>
  </w:num>
  <w:num w:numId="18">
    <w:abstractNumId w:val="22"/>
  </w:num>
  <w:num w:numId="19">
    <w:abstractNumId w:val="21"/>
  </w:num>
  <w:num w:numId="20">
    <w:abstractNumId w:val="11"/>
  </w:num>
  <w:num w:numId="21">
    <w:abstractNumId w:val="13"/>
  </w:num>
  <w:num w:numId="22">
    <w:abstractNumId w:val="17"/>
  </w:num>
  <w:num w:numId="23">
    <w:abstractNumId w:val="5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67"/>
    <w:rsid w:val="00013A69"/>
    <w:rsid w:val="00017D19"/>
    <w:rsid w:val="00033973"/>
    <w:rsid w:val="00077496"/>
    <w:rsid w:val="00094A96"/>
    <w:rsid w:val="000D5211"/>
    <w:rsid w:val="000E07C7"/>
    <w:rsid w:val="000E1D06"/>
    <w:rsid w:val="0011720E"/>
    <w:rsid w:val="00120E48"/>
    <w:rsid w:val="00133F35"/>
    <w:rsid w:val="00134472"/>
    <w:rsid w:val="00195A72"/>
    <w:rsid w:val="00197A8C"/>
    <w:rsid w:val="001A486F"/>
    <w:rsid w:val="002908C5"/>
    <w:rsid w:val="002B39A4"/>
    <w:rsid w:val="002D157A"/>
    <w:rsid w:val="002E3BB4"/>
    <w:rsid w:val="00304340"/>
    <w:rsid w:val="0035095A"/>
    <w:rsid w:val="003829D6"/>
    <w:rsid w:val="003867A5"/>
    <w:rsid w:val="003A0388"/>
    <w:rsid w:val="003A1C02"/>
    <w:rsid w:val="003F0020"/>
    <w:rsid w:val="003F4B9D"/>
    <w:rsid w:val="00425013"/>
    <w:rsid w:val="004301D1"/>
    <w:rsid w:val="004370BB"/>
    <w:rsid w:val="00445A44"/>
    <w:rsid w:val="0048051C"/>
    <w:rsid w:val="004A2B8A"/>
    <w:rsid w:val="004D409C"/>
    <w:rsid w:val="004F14C3"/>
    <w:rsid w:val="0051418A"/>
    <w:rsid w:val="00533307"/>
    <w:rsid w:val="0054115A"/>
    <w:rsid w:val="005461A4"/>
    <w:rsid w:val="00556BAE"/>
    <w:rsid w:val="00562014"/>
    <w:rsid w:val="005670B5"/>
    <w:rsid w:val="005676AB"/>
    <w:rsid w:val="00576349"/>
    <w:rsid w:val="00583F67"/>
    <w:rsid w:val="005F04D2"/>
    <w:rsid w:val="00615DA1"/>
    <w:rsid w:val="00620D0F"/>
    <w:rsid w:val="0062609D"/>
    <w:rsid w:val="0062705B"/>
    <w:rsid w:val="00636CA6"/>
    <w:rsid w:val="006542B8"/>
    <w:rsid w:val="00655FA5"/>
    <w:rsid w:val="00657F8F"/>
    <w:rsid w:val="006653FC"/>
    <w:rsid w:val="0069107E"/>
    <w:rsid w:val="006946A8"/>
    <w:rsid w:val="006B28E2"/>
    <w:rsid w:val="006B3EEA"/>
    <w:rsid w:val="006B6D1B"/>
    <w:rsid w:val="006B6F6E"/>
    <w:rsid w:val="00727D2F"/>
    <w:rsid w:val="00746DC0"/>
    <w:rsid w:val="00762409"/>
    <w:rsid w:val="007D0866"/>
    <w:rsid w:val="00823A80"/>
    <w:rsid w:val="008A1381"/>
    <w:rsid w:val="008E485A"/>
    <w:rsid w:val="009104D7"/>
    <w:rsid w:val="00917859"/>
    <w:rsid w:val="009218CC"/>
    <w:rsid w:val="00936514"/>
    <w:rsid w:val="009530C1"/>
    <w:rsid w:val="009700F2"/>
    <w:rsid w:val="00991802"/>
    <w:rsid w:val="009F4914"/>
    <w:rsid w:val="00A53058"/>
    <w:rsid w:val="00A6498F"/>
    <w:rsid w:val="00A716F0"/>
    <w:rsid w:val="00A74A29"/>
    <w:rsid w:val="00A85FB6"/>
    <w:rsid w:val="00A9622E"/>
    <w:rsid w:val="00AA5FDB"/>
    <w:rsid w:val="00AA758C"/>
    <w:rsid w:val="00AB3399"/>
    <w:rsid w:val="00AD342F"/>
    <w:rsid w:val="00B02C44"/>
    <w:rsid w:val="00B15C45"/>
    <w:rsid w:val="00B20EE4"/>
    <w:rsid w:val="00B343E1"/>
    <w:rsid w:val="00B811D1"/>
    <w:rsid w:val="00BF23AE"/>
    <w:rsid w:val="00C4398B"/>
    <w:rsid w:val="00C54948"/>
    <w:rsid w:val="00C66459"/>
    <w:rsid w:val="00CD537D"/>
    <w:rsid w:val="00D17051"/>
    <w:rsid w:val="00D23EF3"/>
    <w:rsid w:val="00D54338"/>
    <w:rsid w:val="00D61063"/>
    <w:rsid w:val="00D71448"/>
    <w:rsid w:val="00D776FD"/>
    <w:rsid w:val="00D97CB6"/>
    <w:rsid w:val="00DC1C9F"/>
    <w:rsid w:val="00DD3E1F"/>
    <w:rsid w:val="00E173F4"/>
    <w:rsid w:val="00E341BD"/>
    <w:rsid w:val="00E63AF4"/>
    <w:rsid w:val="00E94E70"/>
    <w:rsid w:val="00EA6BF8"/>
    <w:rsid w:val="00F073CA"/>
    <w:rsid w:val="00F61535"/>
    <w:rsid w:val="00F653DB"/>
    <w:rsid w:val="00F82B83"/>
    <w:rsid w:val="00FB0851"/>
    <w:rsid w:val="00FC4940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5283"/>
  <w15:chartTrackingRefBased/>
  <w15:docId w15:val="{D986D634-AFF5-4200-A8AE-72067A2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F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16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F8F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D3BC5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NormlWeb">
    <w:name w:val="Normal (Web)"/>
    <w:basedOn w:val="Norml"/>
    <w:uiPriority w:val="99"/>
    <w:semiHidden/>
    <w:unhideWhenUsed/>
    <w:rsid w:val="0056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014"/>
    <w:rPr>
      <w:b/>
      <w:bCs/>
    </w:rPr>
  </w:style>
  <w:style w:type="character" w:customStyle="1" w:styleId="object">
    <w:name w:val="object"/>
    <w:basedOn w:val="Bekezdsalapbettpusa"/>
    <w:rsid w:val="0011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6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4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k.ppke.hu/felvetelizoknek/pazmany-bolcs-esz-tanulmanyi-verseny" TargetMode="External"/><Relationship Id="rId3" Type="http://schemas.openxmlformats.org/officeDocument/2006/relationships/styles" Target="styles.xml"/><Relationship Id="rId7" Type="http://schemas.openxmlformats.org/officeDocument/2006/relationships/hyperlink" Target="mailto:csorba.erika@btk.ppk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tk.ppke.hu/intro/pazmany-bolcs-esz-tanulmanyi-verse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47A2-0DED-4637-899A-D368D05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835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Család</dc:creator>
  <cp:keywords/>
  <dc:description/>
  <cp:lastModifiedBy>Kissné Csorba Erika</cp:lastModifiedBy>
  <cp:revision>6</cp:revision>
  <cp:lastPrinted>2015-07-16T09:43:00Z</cp:lastPrinted>
  <dcterms:created xsi:type="dcterms:W3CDTF">2023-09-21T10:28:00Z</dcterms:created>
  <dcterms:modified xsi:type="dcterms:W3CDTF">2023-09-29T09:30:00Z</dcterms:modified>
</cp:coreProperties>
</file>