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0256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15AE1A82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32D89C52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683BB63B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6175B6FA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2F66E968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34497A81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10667FF2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</w:p>
    <w:p w14:paraId="0F8664A5" w14:textId="01ED8726" w:rsidR="005C3468" w:rsidRPr="003713F3" w:rsidRDefault="005C3468" w:rsidP="005C3468">
      <w:pPr>
        <w:spacing w:line="360" w:lineRule="auto"/>
        <w:jc w:val="center"/>
        <w:rPr>
          <w:rFonts w:ascii="Times New Roman" w:hAnsi="Times New Roman"/>
          <w:smallCaps/>
          <w:sz w:val="24"/>
        </w:rPr>
      </w:pPr>
      <w:r w:rsidRPr="003713F3">
        <w:rPr>
          <w:rFonts w:ascii="Times New Roman" w:hAnsi="Times New Roman"/>
          <w:smallCaps/>
          <w:sz w:val="24"/>
        </w:rPr>
        <w:t>Soltész Márton</w:t>
      </w:r>
    </w:p>
    <w:p w14:paraId="31CFD3DA" w14:textId="77777777" w:rsidR="005C3468" w:rsidRPr="003713F3" w:rsidRDefault="005C3468" w:rsidP="005C3468">
      <w:pPr>
        <w:spacing w:line="360" w:lineRule="auto"/>
        <w:jc w:val="center"/>
        <w:rPr>
          <w:rFonts w:ascii="Times New Roman" w:hAnsi="Times New Roman"/>
          <w:b/>
          <w:sz w:val="32"/>
        </w:rPr>
      </w:pPr>
      <w:r w:rsidRPr="003713F3">
        <w:rPr>
          <w:rFonts w:ascii="Times New Roman" w:hAnsi="Times New Roman"/>
          <w:b/>
          <w:sz w:val="32"/>
        </w:rPr>
        <w:t>Önmaga hőse és áldozata</w:t>
      </w:r>
    </w:p>
    <w:p w14:paraId="0CFF17BB" w14:textId="77777777" w:rsidR="005C3468" w:rsidRDefault="005C3468" w:rsidP="005C3468">
      <w:pPr>
        <w:spacing w:line="360" w:lineRule="auto"/>
        <w:jc w:val="center"/>
        <w:rPr>
          <w:rFonts w:ascii="Times New Roman" w:hAnsi="Times New Roman"/>
          <w:i/>
          <w:sz w:val="28"/>
        </w:rPr>
      </w:pPr>
      <w:r w:rsidRPr="003713F3">
        <w:rPr>
          <w:rFonts w:ascii="Times New Roman" w:hAnsi="Times New Roman"/>
          <w:i/>
          <w:sz w:val="28"/>
        </w:rPr>
        <w:t>Közelítések Szabó Magda (1917–2007) karriertörténetéhez</w:t>
      </w:r>
    </w:p>
    <w:p w14:paraId="400F83B8" w14:textId="77777777" w:rsidR="00466886" w:rsidRDefault="00466886" w:rsidP="005C3468">
      <w:pPr>
        <w:spacing w:line="360" w:lineRule="auto"/>
        <w:jc w:val="center"/>
        <w:rPr>
          <w:rFonts w:ascii="Times New Roman" w:hAnsi="Times New Roman"/>
          <w:i/>
          <w:sz w:val="28"/>
        </w:rPr>
      </w:pPr>
    </w:p>
    <w:p w14:paraId="767B19F7" w14:textId="4B2DA058" w:rsidR="00466886" w:rsidRPr="00466886" w:rsidRDefault="00466886" w:rsidP="005C3468">
      <w:pPr>
        <w:spacing w:line="360" w:lineRule="auto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Doktori (PhD) értekezés tézisei</w:t>
      </w:r>
    </w:p>
    <w:p w14:paraId="7E66A96C" w14:textId="69004AA5" w:rsidR="005C3468" w:rsidRDefault="005C3468">
      <w:pPr>
        <w:spacing w:after="200" w:line="276" w:lineRule="auto"/>
        <w:jc w:val="lef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p w14:paraId="5F6C00DE" w14:textId="5D613699" w:rsidR="005C3468" w:rsidRPr="005C3468" w:rsidRDefault="005C3468" w:rsidP="005C3468">
      <w:pPr>
        <w:spacing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C3468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1. </w:t>
      </w:r>
      <w:r w:rsidR="00466886">
        <w:rPr>
          <w:rFonts w:ascii="Times New Roman" w:hAnsi="Times New Roman"/>
          <w:bCs/>
          <w:i/>
          <w:iCs/>
          <w:sz w:val="24"/>
          <w:szCs w:val="24"/>
        </w:rPr>
        <w:t>Célkitűzés</w:t>
      </w:r>
    </w:p>
    <w:p w14:paraId="7C87C2EA" w14:textId="77777777" w:rsidR="005C3468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B17C94E" w14:textId="77777777" w:rsidR="00466886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713F3">
        <w:rPr>
          <w:rFonts w:ascii="Times New Roman" w:hAnsi="Times New Roman"/>
          <w:bCs/>
          <w:sz w:val="24"/>
          <w:szCs w:val="24"/>
        </w:rPr>
        <w:t xml:space="preserve">Doktori értekezésem célja felvázolni a </w:t>
      </w:r>
      <w:r w:rsidRPr="00466886">
        <w:rPr>
          <w:rFonts w:ascii="Times New Roman" w:hAnsi="Times New Roman"/>
          <w:b/>
          <w:sz w:val="24"/>
          <w:szCs w:val="24"/>
        </w:rPr>
        <w:t>Szabó Magda (1917–2007)</w:t>
      </w:r>
      <w:r>
        <w:rPr>
          <w:rFonts w:ascii="Times New Roman" w:hAnsi="Times New Roman"/>
          <w:bCs/>
          <w:sz w:val="24"/>
          <w:szCs w:val="24"/>
        </w:rPr>
        <w:t xml:space="preserve"> által kidolgozott és követett</w:t>
      </w:r>
      <w:r w:rsidRPr="003713F3">
        <w:rPr>
          <w:rFonts w:ascii="Times New Roman" w:hAnsi="Times New Roman"/>
          <w:bCs/>
          <w:sz w:val="24"/>
          <w:szCs w:val="24"/>
        </w:rPr>
        <w:t xml:space="preserve"> alkotói módszer és író</w:t>
      </w:r>
      <w:r>
        <w:rPr>
          <w:rFonts w:ascii="Times New Roman" w:hAnsi="Times New Roman"/>
          <w:bCs/>
          <w:sz w:val="24"/>
          <w:szCs w:val="24"/>
        </w:rPr>
        <w:t>i</w:t>
      </w:r>
      <w:r w:rsidRPr="003713F3">
        <w:rPr>
          <w:rFonts w:ascii="Times New Roman" w:hAnsi="Times New Roman"/>
          <w:bCs/>
          <w:sz w:val="24"/>
          <w:szCs w:val="24"/>
        </w:rPr>
        <w:t>/közéleti/értelmiségi szerepmodell genezisét.</w:t>
      </w:r>
    </w:p>
    <w:p w14:paraId="6F97955B" w14:textId="022BF30C" w:rsidR="00466886" w:rsidRDefault="005C3468" w:rsidP="00466886">
      <w:pPr>
        <w:spacing w:line="36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713F3">
        <w:rPr>
          <w:rFonts w:ascii="Times New Roman" w:hAnsi="Times New Roman"/>
          <w:bCs/>
          <w:sz w:val="24"/>
          <w:szCs w:val="24"/>
        </w:rPr>
        <w:t xml:space="preserve">Két irányból vizsgálom tárgyamat: egyrészt az </w:t>
      </w:r>
      <w:r w:rsidRPr="00D15545">
        <w:rPr>
          <w:rFonts w:ascii="Times New Roman" w:hAnsi="Times New Roman"/>
          <w:b/>
          <w:sz w:val="24"/>
          <w:szCs w:val="24"/>
        </w:rPr>
        <w:t>írói életmű</w:t>
      </w:r>
      <w:r w:rsidRPr="003713F3">
        <w:rPr>
          <w:rFonts w:ascii="Times New Roman" w:hAnsi="Times New Roman"/>
          <w:bCs/>
          <w:sz w:val="24"/>
          <w:szCs w:val="24"/>
        </w:rPr>
        <w:t xml:space="preserve"> – nem csak, sőt nem elsősorban – poétikai elemzésén (egyfajta komplex</w:t>
      </w:r>
      <w:r w:rsidR="00466886">
        <w:rPr>
          <w:rFonts w:ascii="Times New Roman" w:hAnsi="Times New Roman"/>
          <w:bCs/>
          <w:sz w:val="24"/>
          <w:szCs w:val="24"/>
        </w:rPr>
        <w:t>:</w:t>
      </w:r>
      <w:r w:rsidRPr="003713F3">
        <w:rPr>
          <w:rFonts w:ascii="Times New Roman" w:hAnsi="Times New Roman"/>
          <w:bCs/>
          <w:sz w:val="24"/>
          <w:szCs w:val="24"/>
        </w:rPr>
        <w:t xml:space="preserve"> szociológiai, szociálpszichológiai,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pszichobiográfiai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megközelítést alkalmazva), másrészt </w:t>
      </w:r>
      <w:r w:rsidRPr="00D15545">
        <w:rPr>
          <w:rFonts w:ascii="Times New Roman" w:hAnsi="Times New Roman"/>
          <w:b/>
          <w:sz w:val="24"/>
          <w:szCs w:val="24"/>
        </w:rPr>
        <w:t>kapcsolattörténeti esettanulmányok</w:t>
      </w:r>
      <w:r w:rsidRPr="003713F3">
        <w:rPr>
          <w:rFonts w:ascii="Times New Roman" w:hAnsi="Times New Roman"/>
          <w:bCs/>
          <w:sz w:val="24"/>
          <w:szCs w:val="24"/>
        </w:rPr>
        <w:t xml:space="preserve"> megírásán keresztül. Ez magyarázza disszertációm hármas szerkezetét.</w:t>
      </w:r>
    </w:p>
    <w:p w14:paraId="77560D79" w14:textId="4FE3C208" w:rsidR="005C3468" w:rsidRPr="00466886" w:rsidRDefault="005C3468" w:rsidP="00466886">
      <w:pPr>
        <w:spacing w:line="36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466886">
        <w:rPr>
          <w:rFonts w:ascii="Times New Roman" w:hAnsi="Times New Roman"/>
          <w:b/>
          <w:sz w:val="24"/>
          <w:szCs w:val="24"/>
        </w:rPr>
        <w:t>Olyan megközelítéseket alkalmazok tehát, amelyeket az irodalomtudomány évtizedek óta tudománytalannak minősít, a történettudomány viszont sikerrel hasznosít.</w:t>
      </w:r>
    </w:p>
    <w:p w14:paraId="4E21A1F8" w14:textId="77777777" w:rsidR="005C3468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9D2F7FF" w14:textId="77777777" w:rsidR="005C3468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BBE1AE4" w14:textId="6559690A" w:rsidR="005C3468" w:rsidRPr="005C3468" w:rsidRDefault="005C3468" w:rsidP="005C3468">
      <w:pPr>
        <w:spacing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C3468">
        <w:rPr>
          <w:rFonts w:ascii="Times New Roman" w:hAnsi="Times New Roman"/>
          <w:bCs/>
          <w:i/>
          <w:iCs/>
          <w:sz w:val="24"/>
          <w:szCs w:val="24"/>
        </w:rPr>
        <w:t>2. Módszertan</w:t>
      </w:r>
    </w:p>
    <w:p w14:paraId="36008C41" w14:textId="77777777" w:rsidR="005C3468" w:rsidRPr="003713F3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B4FC3A2" w14:textId="77777777" w:rsidR="005C3468" w:rsidRPr="003713F3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713F3">
        <w:rPr>
          <w:rFonts w:ascii="Times New Roman" w:hAnsi="Times New Roman"/>
          <w:bCs/>
          <w:i/>
          <w:sz w:val="24"/>
          <w:szCs w:val="24"/>
        </w:rPr>
        <w:t>A Szabó Magda-jelenség</w:t>
      </w:r>
      <w:r w:rsidRPr="003713F3">
        <w:rPr>
          <w:rFonts w:ascii="Times New Roman" w:hAnsi="Times New Roman"/>
          <w:bCs/>
          <w:sz w:val="24"/>
          <w:szCs w:val="24"/>
        </w:rPr>
        <w:t xml:space="preserve"> című első etapban számot vetek a magyar irodalomtudományban kialakult normatív modell(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ek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) szakmai következményeivel és következetlenségeivel, elvégzem olyan – munkám szempontjából – nélkülözhetetlen alapfogalmak tisztázását-értelmezését, mint a „jelenség”, a „modell” és a „forrás”. Itt következik a </w:t>
      </w:r>
      <w:r w:rsidRPr="00466886">
        <w:rPr>
          <w:rFonts w:ascii="Times New Roman" w:hAnsi="Times New Roman"/>
          <w:b/>
          <w:sz w:val="24"/>
          <w:szCs w:val="24"/>
        </w:rPr>
        <w:t>historiográfiai megközelítés</w:t>
      </w:r>
      <w:r w:rsidRPr="003713F3">
        <w:rPr>
          <w:rFonts w:ascii="Times New Roman" w:hAnsi="Times New Roman"/>
          <w:bCs/>
          <w:sz w:val="24"/>
          <w:szCs w:val="24"/>
        </w:rPr>
        <w:t xml:space="preserve">, amely az életmű és a hagyaték publicitásával, hozzáférhetőségével, jogi helyzetével foglalkozik. Az első nagyobb egységet egy elméleti – filozófiai, irodalom- és művészetelméleti – problémafölvetés zárja, amely amellett hivatott érvelni, hogy természetesen nem a pozitivista, a szerzői szándék elvét követő és számon kérő irodalomtörténeti iskola okkal-joggal meghaladott hagyományához tér vissza vállalkozásom. A </w:t>
      </w:r>
      <w:r w:rsidRPr="003713F3">
        <w:rPr>
          <w:rFonts w:ascii="Times New Roman" w:hAnsi="Times New Roman"/>
          <w:bCs/>
          <w:i/>
          <w:sz w:val="24"/>
          <w:szCs w:val="24"/>
        </w:rPr>
        <w:t>Stratégia – üzenet – kultusz. Mediális aspektusok</w:t>
      </w:r>
      <w:r w:rsidRPr="003713F3">
        <w:rPr>
          <w:rFonts w:ascii="Times New Roman" w:hAnsi="Times New Roman"/>
          <w:bCs/>
          <w:sz w:val="24"/>
          <w:szCs w:val="24"/>
        </w:rPr>
        <w:t xml:space="preserve"> című záró tanulmány a Max Weber és Pierre Bourdieu által kidolgozott fogalmak tükrében vizsgálja az ún. „Szabó Magda-jelenség”-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et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>.</w:t>
      </w:r>
    </w:p>
    <w:p w14:paraId="7E10EE3F" w14:textId="77777777" w:rsidR="005C3468" w:rsidRPr="003713F3" w:rsidRDefault="005C3468" w:rsidP="005C3468">
      <w:pPr>
        <w:spacing w:line="36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713F3">
        <w:rPr>
          <w:rFonts w:ascii="Times New Roman" w:hAnsi="Times New Roman"/>
          <w:bCs/>
          <w:sz w:val="24"/>
          <w:szCs w:val="24"/>
        </w:rPr>
        <w:t xml:space="preserve">Munkám </w:t>
      </w:r>
      <w:r w:rsidRPr="003713F3">
        <w:rPr>
          <w:rFonts w:ascii="Times New Roman" w:hAnsi="Times New Roman"/>
          <w:bCs/>
          <w:i/>
          <w:sz w:val="24"/>
          <w:szCs w:val="24"/>
        </w:rPr>
        <w:t>Megközelítésmódok</w:t>
      </w:r>
      <w:r w:rsidRPr="003713F3">
        <w:rPr>
          <w:rFonts w:ascii="Times New Roman" w:hAnsi="Times New Roman"/>
          <w:bCs/>
          <w:sz w:val="24"/>
          <w:szCs w:val="24"/>
        </w:rPr>
        <w:t xml:space="preserve"> című etapja sorra veszi az </w:t>
      </w:r>
      <w:r w:rsidRPr="00466886">
        <w:rPr>
          <w:rFonts w:ascii="Times New Roman" w:hAnsi="Times New Roman"/>
          <w:b/>
          <w:sz w:val="24"/>
          <w:szCs w:val="24"/>
        </w:rPr>
        <w:t>immanens</w:t>
      </w:r>
      <w:r w:rsidRPr="003713F3">
        <w:rPr>
          <w:rFonts w:ascii="Times New Roman" w:hAnsi="Times New Roman"/>
          <w:bCs/>
          <w:sz w:val="24"/>
          <w:szCs w:val="24"/>
        </w:rPr>
        <w:t xml:space="preserve">, a </w:t>
      </w:r>
      <w:r w:rsidRPr="00466886">
        <w:rPr>
          <w:rFonts w:ascii="Times New Roman" w:hAnsi="Times New Roman"/>
          <w:b/>
          <w:sz w:val="24"/>
          <w:szCs w:val="24"/>
        </w:rPr>
        <w:t>műfajelméleti</w:t>
      </w:r>
      <w:r w:rsidRPr="003713F3">
        <w:rPr>
          <w:rFonts w:ascii="Times New Roman" w:hAnsi="Times New Roman"/>
          <w:bCs/>
          <w:sz w:val="24"/>
          <w:szCs w:val="24"/>
        </w:rPr>
        <w:t xml:space="preserve">, a </w:t>
      </w:r>
      <w:r w:rsidRPr="00466886">
        <w:rPr>
          <w:rFonts w:ascii="Times New Roman" w:hAnsi="Times New Roman"/>
          <w:b/>
          <w:sz w:val="24"/>
          <w:szCs w:val="24"/>
        </w:rPr>
        <w:t>recepcióesztétikai</w:t>
      </w:r>
      <w:r w:rsidRPr="003713F3">
        <w:rPr>
          <w:rFonts w:ascii="Times New Roman" w:hAnsi="Times New Roman"/>
          <w:bCs/>
          <w:sz w:val="24"/>
          <w:szCs w:val="24"/>
        </w:rPr>
        <w:t xml:space="preserve">, a </w:t>
      </w:r>
      <w:r w:rsidRPr="00466886">
        <w:rPr>
          <w:rFonts w:ascii="Times New Roman" w:hAnsi="Times New Roman"/>
          <w:b/>
          <w:sz w:val="24"/>
          <w:szCs w:val="24"/>
        </w:rPr>
        <w:t>genetikus-holisztikus poétikai</w:t>
      </w:r>
      <w:r w:rsidRPr="003713F3">
        <w:rPr>
          <w:rFonts w:ascii="Times New Roman" w:hAnsi="Times New Roman"/>
          <w:bCs/>
          <w:sz w:val="24"/>
          <w:szCs w:val="24"/>
        </w:rPr>
        <w:t xml:space="preserve"> és a </w:t>
      </w:r>
      <w:proofErr w:type="spellStart"/>
      <w:r w:rsidRPr="00466886">
        <w:rPr>
          <w:rFonts w:ascii="Times New Roman" w:hAnsi="Times New Roman"/>
          <w:b/>
          <w:sz w:val="24"/>
          <w:szCs w:val="24"/>
        </w:rPr>
        <w:t>pszichobiográfiai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</w:t>
      </w:r>
      <w:r w:rsidRPr="009F02EB">
        <w:rPr>
          <w:rFonts w:ascii="Times New Roman" w:hAnsi="Times New Roman"/>
          <w:b/>
          <w:sz w:val="24"/>
          <w:szCs w:val="24"/>
        </w:rPr>
        <w:t xml:space="preserve">megközelítések </w:t>
      </w:r>
      <w:r w:rsidRPr="003713F3">
        <w:rPr>
          <w:rFonts w:ascii="Times New Roman" w:hAnsi="Times New Roman"/>
          <w:bCs/>
          <w:sz w:val="24"/>
          <w:szCs w:val="24"/>
        </w:rPr>
        <w:t xml:space="preserve">célját, érdemeit és hibáit. Az immanens megközelítés a Szabó Magda-életmű első szakaszának úttörő poétikai értelmezését –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Kosztrabszky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Réka kollégám doktori értekezésként benyújtott Szabó Magda-monográfiáját – vizsgálja, premisszáit vitatja, végkövetkeztetéseit ismétli-erősíti meg. A műfajelméleti megközelítés önkényességének példáját az </w:t>
      </w:r>
      <w:r w:rsidRPr="003713F3">
        <w:rPr>
          <w:rFonts w:ascii="Times New Roman" w:hAnsi="Times New Roman"/>
          <w:bCs/>
          <w:i/>
          <w:sz w:val="24"/>
          <w:szCs w:val="24"/>
        </w:rPr>
        <w:t xml:space="preserve">Abigél </w:t>
      </w:r>
      <w:r w:rsidRPr="003713F3">
        <w:rPr>
          <w:rFonts w:ascii="Times New Roman" w:hAnsi="Times New Roman"/>
          <w:bCs/>
          <w:sz w:val="24"/>
          <w:szCs w:val="24"/>
        </w:rPr>
        <w:t xml:space="preserve">című regény és film recepciótörténetén keresztül mutatom be – itt a „lányregény” a központi terminus, az „ifjúsági irodalom” pedig a tágabb műfaji besorolás, </w:t>
      </w:r>
      <w:r w:rsidRPr="003713F3">
        <w:rPr>
          <w:rFonts w:ascii="Times New Roman" w:hAnsi="Times New Roman"/>
          <w:bCs/>
          <w:sz w:val="24"/>
          <w:szCs w:val="24"/>
        </w:rPr>
        <w:lastRenderedPageBreak/>
        <w:t xml:space="preserve">amely – meglátásom szerint – évtizedeken át korlátozta az irodalmi mű irodalmiságának – a regény poétikai kvalitásainak – érvényesülését, felszínre jutását. Tanulmányomban a kortárs kutatásokhoz – Horváth Futó Hargita és az Irodalmi Magazin „iskola-számában” megjelent írásokhoz – kapcsolódva Ottlik Géza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magnum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opusával, </w:t>
      </w:r>
      <w:r w:rsidRPr="003713F3">
        <w:rPr>
          <w:rFonts w:ascii="Times New Roman" w:hAnsi="Times New Roman"/>
          <w:bCs/>
          <w:i/>
          <w:sz w:val="24"/>
          <w:szCs w:val="24"/>
        </w:rPr>
        <w:t xml:space="preserve">Iskola a határon </w:t>
      </w:r>
      <w:r w:rsidRPr="003713F3">
        <w:rPr>
          <w:rFonts w:ascii="Times New Roman" w:hAnsi="Times New Roman"/>
          <w:bCs/>
          <w:sz w:val="24"/>
          <w:szCs w:val="24"/>
        </w:rPr>
        <w:t xml:space="preserve">című 1959-es regényével hasonlítom össze Szabó Magda művét. A </w:t>
      </w:r>
      <w:r w:rsidRPr="003713F3">
        <w:rPr>
          <w:rFonts w:ascii="Times New Roman" w:hAnsi="Times New Roman"/>
          <w:bCs/>
          <w:i/>
          <w:sz w:val="24"/>
          <w:szCs w:val="24"/>
        </w:rPr>
        <w:t>Katalin utca</w:t>
      </w:r>
      <w:r w:rsidRPr="003713F3">
        <w:rPr>
          <w:rFonts w:ascii="Times New Roman" w:hAnsi="Times New Roman"/>
          <w:bCs/>
          <w:sz w:val="24"/>
          <w:szCs w:val="24"/>
        </w:rPr>
        <w:t xml:space="preserve"> című közismert és közkedvelt regény elemzésekor előbb teret engedek saját értelmezői víziómnak,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naplószerűen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követem saját benyomásaimat, majd megismerkedem a hivatalos (sajtó)fogadtatás és az internetes blogok szerzőinek (a valódi olvasóknak) a véleményével is. Miután e két forrás összevetése alapján kikristályosítottam saját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olvasatomat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, utánanéztem a kézirattári és levéltári forrásokban a szerzői szándék dokumentumainak, s meglepve tapasztaltam, hogy a laikusok és jómagam – a kései olvasó – az egykori céhbeli (állampárti) kritikusokkal ellentétben jól érzékeltem a szerzői szándékot: a művész által tervezett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heurézis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-hatás (katarzis) mind a szerkezeti alakítás, mind a mű „üzenete” szempontjából bekövetkezett – még akkor is, ha a korszerű irodalomtudományi megközelítésnek nem feladata, hogy rekonstruálja az intenciót. </w:t>
      </w:r>
      <w:r w:rsidRPr="00466886">
        <w:rPr>
          <w:rFonts w:ascii="Times New Roman" w:hAnsi="Times New Roman"/>
          <w:b/>
          <w:sz w:val="24"/>
          <w:szCs w:val="24"/>
        </w:rPr>
        <w:t>A filológiai kutatási eredmények ily módon kontrollinstanciaként asszisztáltak a recepcióesztétikai elemzéshez</w:t>
      </w:r>
      <w:r w:rsidRPr="003713F3">
        <w:rPr>
          <w:rFonts w:ascii="Times New Roman" w:hAnsi="Times New Roman"/>
          <w:bCs/>
          <w:sz w:val="24"/>
          <w:szCs w:val="24"/>
        </w:rPr>
        <w:t xml:space="preserve"> (miközben nem váltak korlátozó tényezővé).</w:t>
      </w:r>
    </w:p>
    <w:p w14:paraId="6A90E344" w14:textId="77777777" w:rsidR="005C3468" w:rsidRPr="003713F3" w:rsidRDefault="005C3468" w:rsidP="005C3468">
      <w:pPr>
        <w:spacing w:line="360" w:lineRule="auto"/>
        <w:ind w:firstLine="284"/>
        <w:rPr>
          <w:rFonts w:ascii="Times New Roman" w:hAnsi="Times New Roman"/>
          <w:sz w:val="24"/>
          <w:szCs w:val="24"/>
        </w:rPr>
      </w:pPr>
      <w:r w:rsidRPr="003713F3">
        <w:rPr>
          <w:rFonts w:ascii="Times New Roman" w:hAnsi="Times New Roman"/>
          <w:bCs/>
          <w:sz w:val="24"/>
          <w:szCs w:val="24"/>
        </w:rPr>
        <w:t xml:space="preserve">A </w:t>
      </w:r>
      <w:r w:rsidRPr="00466886">
        <w:rPr>
          <w:rFonts w:ascii="Times New Roman" w:hAnsi="Times New Roman"/>
          <w:bCs/>
          <w:sz w:val="24"/>
          <w:szCs w:val="24"/>
        </w:rPr>
        <w:t>genetikus-holisztikus megközelítés</w:t>
      </w:r>
      <w:r w:rsidRPr="003713F3">
        <w:rPr>
          <w:rFonts w:ascii="Times New Roman" w:hAnsi="Times New Roman"/>
          <w:bCs/>
          <w:sz w:val="24"/>
          <w:szCs w:val="24"/>
        </w:rPr>
        <w:t xml:space="preserve"> a Szabó Magdára jellemző alkotói módszer és szövegtípus kialakulásának genezisét igyekszik rekonstruálni egyes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13F3">
        <w:rPr>
          <w:rFonts w:ascii="Times New Roman" w:hAnsi="Times New Roman"/>
          <w:bCs/>
          <w:sz w:val="24"/>
          <w:szCs w:val="24"/>
        </w:rPr>
        <w:t xml:space="preserve">önkényesen kiválasztott – könyvművek vizsgálatán keresztül. Az </w:t>
      </w:r>
      <w:proofErr w:type="spellStart"/>
      <w:r w:rsidRPr="003713F3">
        <w:rPr>
          <w:rFonts w:ascii="Times New Roman" w:hAnsi="Times New Roman"/>
          <w:bCs/>
          <w:i/>
          <w:sz w:val="24"/>
          <w:szCs w:val="24"/>
        </w:rPr>
        <w:t>Ókút</w:t>
      </w:r>
      <w:r w:rsidRPr="003713F3">
        <w:rPr>
          <w:rFonts w:ascii="Times New Roman" w:hAnsi="Times New Roman"/>
          <w:bCs/>
          <w:sz w:val="24"/>
          <w:szCs w:val="24"/>
        </w:rPr>
        <w:t>tól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(1970) a </w:t>
      </w:r>
      <w:r w:rsidRPr="003713F3">
        <w:rPr>
          <w:rFonts w:ascii="Times New Roman" w:hAnsi="Times New Roman"/>
          <w:bCs/>
          <w:i/>
          <w:sz w:val="24"/>
          <w:szCs w:val="24"/>
        </w:rPr>
        <w:t xml:space="preserve">Für </w:t>
      </w:r>
      <w:proofErr w:type="spellStart"/>
      <w:r w:rsidRPr="003713F3">
        <w:rPr>
          <w:rFonts w:ascii="Times New Roman" w:hAnsi="Times New Roman"/>
          <w:bCs/>
          <w:i/>
          <w:sz w:val="24"/>
          <w:szCs w:val="24"/>
        </w:rPr>
        <w:t>Elisé</w:t>
      </w:r>
      <w:r w:rsidRPr="003713F3">
        <w:rPr>
          <w:rFonts w:ascii="Times New Roman" w:hAnsi="Times New Roman"/>
          <w:bCs/>
          <w:sz w:val="24"/>
          <w:szCs w:val="24"/>
        </w:rPr>
        <w:t>ig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(2002) vezető úton az írónő számos műfajban és műnemben (vers, regény, önéletrajz, dokumentumregény, monográfia, esszé, tanulmány, rádiójáték, színmű; líra, próza, dráma) kipróbálta magát, életművének kvintesszenciáját azonban mégis önéletrajzi </w:t>
      </w:r>
      <w:proofErr w:type="spellStart"/>
      <w:r w:rsidRPr="003713F3">
        <w:rPr>
          <w:rFonts w:ascii="Times New Roman" w:hAnsi="Times New Roman"/>
          <w:bCs/>
          <w:i/>
          <w:sz w:val="24"/>
          <w:szCs w:val="24"/>
        </w:rPr>
        <w:t>sagá</w:t>
      </w:r>
      <w:r w:rsidRPr="003713F3">
        <w:rPr>
          <w:rFonts w:ascii="Times New Roman" w:hAnsi="Times New Roman"/>
          <w:bCs/>
          <w:sz w:val="24"/>
          <w:szCs w:val="24"/>
        </w:rPr>
        <w:t>jának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elkészült részei jelentik, s lényegében minden egyéb alkotása e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magnum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opustól mért távolságában nyeri el értelmét, jelentőségét. A lélektani –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pszichobiográfiai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– megközelítés szemléltetésére a </w:t>
      </w:r>
      <w:r w:rsidRPr="003713F3">
        <w:rPr>
          <w:rFonts w:ascii="Times New Roman" w:hAnsi="Times New Roman"/>
          <w:bCs/>
          <w:i/>
          <w:sz w:val="24"/>
          <w:szCs w:val="24"/>
        </w:rPr>
        <w:t xml:space="preserve">Pilátus </w:t>
      </w:r>
      <w:r w:rsidRPr="003713F3">
        <w:rPr>
          <w:rFonts w:ascii="Times New Roman" w:hAnsi="Times New Roman"/>
          <w:bCs/>
          <w:sz w:val="24"/>
          <w:szCs w:val="24"/>
        </w:rPr>
        <w:t xml:space="preserve">című regény és film mutatkozott a legalkalmasabbnak; pontosabban ehhez az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intermediális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elemzéshez tudtam gyümölcsöző módon segítségül hívni a jelzett módszert (mert egyetlen esetben sem engedtem meg magamnak azt a luxust, hogy Szabó Magda művei illusztrációvá fokozódjanak le a magam hermeneutikai ambíciói jegyében). </w:t>
      </w:r>
      <w:r w:rsidRPr="003713F3">
        <w:rPr>
          <w:rFonts w:ascii="Times New Roman" w:hAnsi="Times New Roman"/>
          <w:sz w:val="24"/>
          <w:szCs w:val="24"/>
        </w:rPr>
        <w:t xml:space="preserve">Az 1963-as </w:t>
      </w:r>
      <w:r w:rsidRPr="003713F3">
        <w:rPr>
          <w:rFonts w:ascii="Times New Roman" w:hAnsi="Times New Roman"/>
          <w:i/>
          <w:sz w:val="24"/>
          <w:szCs w:val="24"/>
        </w:rPr>
        <w:t>Pilátus</w:t>
      </w:r>
      <w:r w:rsidRPr="003713F3">
        <w:rPr>
          <w:rFonts w:ascii="Times New Roman" w:hAnsi="Times New Roman"/>
          <w:sz w:val="24"/>
          <w:szCs w:val="24"/>
        </w:rPr>
        <w:t xml:space="preserve">t a terápiás írás fogalmán keresztül, </w:t>
      </w:r>
      <w:r w:rsidRPr="00466886">
        <w:rPr>
          <w:rFonts w:ascii="Times New Roman" w:hAnsi="Times New Roman"/>
          <w:b/>
          <w:bCs/>
          <w:sz w:val="24"/>
          <w:szCs w:val="24"/>
        </w:rPr>
        <w:t>a szerzői biográfia – mint források és narratívák együttese</w:t>
      </w:r>
      <w:r w:rsidRPr="003713F3">
        <w:rPr>
          <w:rFonts w:ascii="Times New Roman" w:hAnsi="Times New Roman"/>
          <w:sz w:val="24"/>
          <w:szCs w:val="24"/>
        </w:rPr>
        <w:t xml:space="preserve"> – felől közelítettem meg. A magam részéről ugyanis a </w:t>
      </w:r>
      <w:r w:rsidRPr="003713F3">
        <w:rPr>
          <w:rFonts w:ascii="Times New Roman" w:hAnsi="Times New Roman"/>
          <w:i/>
          <w:sz w:val="24"/>
          <w:szCs w:val="24"/>
        </w:rPr>
        <w:t xml:space="preserve">Pilátus </w:t>
      </w:r>
      <w:r w:rsidRPr="003713F3">
        <w:rPr>
          <w:rFonts w:ascii="Times New Roman" w:hAnsi="Times New Roman"/>
          <w:sz w:val="24"/>
          <w:szCs w:val="24"/>
        </w:rPr>
        <w:t>születésétől számítom a fikciós példázatszerűség és az önéletrajzi öntanúsítás életműbéli viszonyának visszafordíthatatlan megváltozását.</w:t>
      </w:r>
    </w:p>
    <w:p w14:paraId="536B959F" w14:textId="77777777" w:rsidR="005C3468" w:rsidRDefault="005C3468" w:rsidP="005C3468">
      <w:pPr>
        <w:spacing w:line="36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713F3">
        <w:rPr>
          <w:rFonts w:ascii="Times New Roman" w:hAnsi="Times New Roman"/>
          <w:bCs/>
          <w:sz w:val="24"/>
          <w:szCs w:val="24"/>
        </w:rPr>
        <w:lastRenderedPageBreak/>
        <w:t xml:space="preserve">Értekezésem harmadik nagy etapja a </w:t>
      </w:r>
      <w:r w:rsidRPr="00466886">
        <w:rPr>
          <w:rFonts w:ascii="Times New Roman" w:hAnsi="Times New Roman"/>
          <w:b/>
          <w:i/>
          <w:sz w:val="24"/>
          <w:szCs w:val="24"/>
        </w:rPr>
        <w:t>Kapcsolattörténetek</w:t>
      </w:r>
      <w:r w:rsidRPr="003713F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713F3">
        <w:rPr>
          <w:rFonts w:ascii="Times New Roman" w:hAnsi="Times New Roman"/>
          <w:bCs/>
          <w:sz w:val="24"/>
          <w:szCs w:val="24"/>
        </w:rPr>
        <w:t xml:space="preserve">címet viseli. Három irodalomtörténész és egy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kultúrpolitikus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Szabó Magdához fűződő kapcsolatát elemzem </w:t>
      </w:r>
      <w:r w:rsidRPr="009F02EB">
        <w:rPr>
          <w:rFonts w:ascii="Times New Roman" w:hAnsi="Times New Roman"/>
          <w:b/>
          <w:sz w:val="24"/>
          <w:szCs w:val="24"/>
        </w:rPr>
        <w:t>a fennmaradt dokumentumok tükrében</w:t>
      </w:r>
      <w:r w:rsidRPr="003713F3">
        <w:rPr>
          <w:rFonts w:ascii="Times New Roman" w:hAnsi="Times New Roman"/>
          <w:bCs/>
          <w:sz w:val="24"/>
          <w:szCs w:val="24"/>
        </w:rPr>
        <w:t xml:space="preserve"> – kettő ezek közül barát (Nagy Péter), illetve korábbi kérő (Király István), a harmadik az írónő férje,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Szobotka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Tibor, a negyedik pedig Aczél György, akivel Szabó Magda mindaddig fenntartotta a</w:t>
      </w:r>
      <w:r>
        <w:rPr>
          <w:rFonts w:ascii="Times New Roman" w:hAnsi="Times New Roman"/>
          <w:bCs/>
          <w:sz w:val="24"/>
          <w:szCs w:val="24"/>
        </w:rPr>
        <w:t>(</w:t>
      </w:r>
      <w:r w:rsidRPr="003713F3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)</w:t>
      </w:r>
      <w:r w:rsidRPr="003713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3713F3">
        <w:rPr>
          <w:rFonts w:ascii="Times New Roman" w:hAnsi="Times New Roman"/>
          <w:bCs/>
          <w:sz w:val="24"/>
          <w:szCs w:val="24"/>
        </w:rPr>
        <w:t>érdek</w:t>
      </w:r>
      <w:r>
        <w:rPr>
          <w:rFonts w:ascii="Times New Roman" w:hAnsi="Times New Roman"/>
          <w:bCs/>
          <w:sz w:val="24"/>
          <w:szCs w:val="24"/>
        </w:rPr>
        <w:t>)</w:t>
      </w:r>
      <w:r w:rsidRPr="003713F3">
        <w:rPr>
          <w:rFonts w:ascii="Times New Roman" w:hAnsi="Times New Roman"/>
          <w:bCs/>
          <w:sz w:val="24"/>
          <w:szCs w:val="24"/>
        </w:rPr>
        <w:t>barátságot, ameddig a politikus el nem vesz</w:t>
      </w:r>
      <w:r>
        <w:rPr>
          <w:rFonts w:ascii="Times New Roman" w:hAnsi="Times New Roman"/>
          <w:bCs/>
          <w:sz w:val="24"/>
          <w:szCs w:val="24"/>
        </w:rPr>
        <w:t>í</w:t>
      </w:r>
      <w:r w:rsidRPr="003713F3">
        <w:rPr>
          <w:rFonts w:ascii="Times New Roman" w:hAnsi="Times New Roman"/>
          <w:bCs/>
          <w:sz w:val="24"/>
          <w:szCs w:val="24"/>
        </w:rPr>
        <w:t xml:space="preserve">tette hatalmát. </w:t>
      </w:r>
      <w:r>
        <w:rPr>
          <w:rFonts w:ascii="Times New Roman" w:hAnsi="Times New Roman"/>
          <w:bCs/>
          <w:sz w:val="24"/>
          <w:szCs w:val="24"/>
        </w:rPr>
        <w:t>Úgy tűnik,</w:t>
      </w:r>
      <w:r w:rsidRPr="003713F3">
        <w:rPr>
          <w:rFonts w:ascii="Times New Roman" w:hAnsi="Times New Roman"/>
          <w:bCs/>
          <w:sz w:val="24"/>
          <w:szCs w:val="24"/>
        </w:rPr>
        <w:t xml:space="preserve"> a Nagy Péter-barátság is hasonló okokból ment tönkre – ha ugyan létezett, s nem csupán fegyverbarátság volt –: amikor a Kádár–Aczél-korszak kritikusnemzedékének tagjai „nemkívánatos személyek” lettek, Szabó Magda igyekezett menekülni az átkos „Aczél-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girl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>” szereptől, s hátat fordított múltja szereplői között „házi kritikusának”, Nagy Péternek is. Király István, aki 1945 után az akkor még költőként publikáló Szabó Magdának a kezét is megkérte, 1989-ben bekövetkezett halála miatt nem é</w:t>
      </w:r>
      <w:r>
        <w:rPr>
          <w:rFonts w:ascii="Times New Roman" w:hAnsi="Times New Roman"/>
          <w:bCs/>
          <w:sz w:val="24"/>
          <w:szCs w:val="24"/>
        </w:rPr>
        <w:t>r</w:t>
      </w:r>
      <w:r w:rsidRPr="003713F3">
        <w:rPr>
          <w:rFonts w:ascii="Times New Roman" w:hAnsi="Times New Roman"/>
          <w:bCs/>
          <w:sz w:val="24"/>
          <w:szCs w:val="24"/>
        </w:rPr>
        <w:t>hette meg a nyolcvanas években már harcostársaként szeretett és védelmezett írónő pálfordulását.</w:t>
      </w:r>
    </w:p>
    <w:p w14:paraId="7897FA76" w14:textId="77777777" w:rsidR="005C3468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21FA92DE" w14:textId="77777777" w:rsidR="005C3468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4D057BE4" w14:textId="3FE9FA47" w:rsidR="005C3468" w:rsidRPr="005C3468" w:rsidRDefault="005C3468" w:rsidP="005C3468">
      <w:pPr>
        <w:spacing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C3468">
        <w:rPr>
          <w:rFonts w:ascii="Times New Roman" w:hAnsi="Times New Roman"/>
          <w:bCs/>
          <w:i/>
          <w:iCs/>
          <w:sz w:val="24"/>
          <w:szCs w:val="24"/>
        </w:rPr>
        <w:t>3. Eredmények</w:t>
      </w:r>
    </w:p>
    <w:p w14:paraId="6A5F74F1" w14:textId="77777777" w:rsidR="005C3468" w:rsidRPr="003713F3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46C0B189" w14:textId="77777777" w:rsidR="00466886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713F3">
        <w:rPr>
          <w:rFonts w:ascii="Times New Roman" w:hAnsi="Times New Roman"/>
          <w:bCs/>
          <w:sz w:val="24"/>
          <w:szCs w:val="24"/>
        </w:rPr>
        <w:t xml:space="preserve">Hogy </w:t>
      </w:r>
      <w:r w:rsidRPr="00466886">
        <w:rPr>
          <w:rFonts w:ascii="Times New Roman" w:hAnsi="Times New Roman"/>
          <w:b/>
          <w:sz w:val="24"/>
          <w:szCs w:val="24"/>
        </w:rPr>
        <w:t>áldozat</w:t>
      </w:r>
      <w:r w:rsidRPr="003713F3">
        <w:rPr>
          <w:rFonts w:ascii="Times New Roman" w:hAnsi="Times New Roman"/>
          <w:bCs/>
          <w:sz w:val="24"/>
          <w:szCs w:val="24"/>
        </w:rPr>
        <w:t xml:space="preserve"> volt-e Szabó Magda vagy </w:t>
      </w:r>
      <w:r w:rsidRPr="00466886">
        <w:rPr>
          <w:rFonts w:ascii="Times New Roman" w:hAnsi="Times New Roman"/>
          <w:b/>
          <w:sz w:val="24"/>
          <w:szCs w:val="24"/>
        </w:rPr>
        <w:t>hős</w:t>
      </w:r>
      <w:r w:rsidRPr="003713F3">
        <w:rPr>
          <w:rFonts w:ascii="Times New Roman" w:hAnsi="Times New Roman"/>
          <w:bCs/>
          <w:sz w:val="24"/>
          <w:szCs w:val="24"/>
        </w:rPr>
        <w:t xml:space="preserve"> – nem dönthető el egyértelműen, aminthogy – hitem szerint – nem is ez a(z) (irodalom)történész feladata.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Szobotka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Tiborról ellenben jó szívvel elmondható: legalább annyiban áldozat(a) volt (Szabó Magdának), amennyiben feláldozta egészségét, karrierjét – végső soron önmagát – felesége írói sikere érdekében.</w:t>
      </w:r>
    </w:p>
    <w:p w14:paraId="3C740EC2" w14:textId="4445D9C8" w:rsidR="00BE6C6A" w:rsidRDefault="005C3468" w:rsidP="00466886">
      <w:pPr>
        <w:spacing w:line="36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713F3">
        <w:rPr>
          <w:rFonts w:ascii="Times New Roman" w:hAnsi="Times New Roman"/>
          <w:bCs/>
          <w:sz w:val="24"/>
          <w:szCs w:val="24"/>
        </w:rPr>
        <w:t xml:space="preserve">Anélkül hogy a Szabó Magda-kultusz ellenében egyfajta ellenkultusz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meggyökeresítését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szorgalmaznám, meg</w:t>
      </w:r>
      <w:r>
        <w:rPr>
          <w:rFonts w:ascii="Times New Roman" w:hAnsi="Times New Roman"/>
          <w:bCs/>
          <w:sz w:val="24"/>
          <w:szCs w:val="24"/>
        </w:rPr>
        <w:t>kísérlem</w:t>
      </w:r>
      <w:r w:rsidRPr="003713F3">
        <w:rPr>
          <w:rFonts w:ascii="Times New Roman" w:hAnsi="Times New Roman"/>
          <w:bCs/>
          <w:sz w:val="24"/>
          <w:szCs w:val="24"/>
        </w:rPr>
        <w:t xml:space="preserve"> rekonstruálni azt a lelki – társkapcsolati – helyzetet, amelynek ékes dokumentuma </w:t>
      </w:r>
      <w:proofErr w:type="spellStart"/>
      <w:r w:rsidRPr="003713F3">
        <w:rPr>
          <w:rFonts w:ascii="Times New Roman" w:hAnsi="Times New Roman"/>
          <w:bCs/>
          <w:sz w:val="24"/>
          <w:szCs w:val="24"/>
        </w:rPr>
        <w:t>Szobotka</w:t>
      </w:r>
      <w:proofErr w:type="spellEnd"/>
      <w:r w:rsidRPr="003713F3">
        <w:rPr>
          <w:rFonts w:ascii="Times New Roman" w:hAnsi="Times New Roman"/>
          <w:bCs/>
          <w:sz w:val="24"/>
          <w:szCs w:val="24"/>
        </w:rPr>
        <w:t xml:space="preserve"> Tibor 1953 és 1961 között vezetett naplója, s legalább ennyivel hozzájárulni az írónő karakterének, </w:t>
      </w:r>
      <w:r w:rsidRPr="00466886">
        <w:rPr>
          <w:rFonts w:ascii="Times New Roman" w:hAnsi="Times New Roman"/>
          <w:b/>
          <w:sz w:val="24"/>
          <w:szCs w:val="24"/>
        </w:rPr>
        <w:t xml:space="preserve">egy a 20. század közepén írói helyét, szerepét kereső, </w:t>
      </w:r>
      <w:proofErr w:type="spellStart"/>
      <w:r w:rsidRPr="00466886">
        <w:rPr>
          <w:rFonts w:ascii="Times New Roman" w:hAnsi="Times New Roman"/>
          <w:b/>
          <w:sz w:val="24"/>
          <w:szCs w:val="24"/>
        </w:rPr>
        <w:t>traumatizált</w:t>
      </w:r>
      <w:proofErr w:type="spellEnd"/>
      <w:r w:rsidRPr="00466886">
        <w:rPr>
          <w:rFonts w:ascii="Times New Roman" w:hAnsi="Times New Roman"/>
          <w:b/>
          <w:sz w:val="24"/>
          <w:szCs w:val="24"/>
        </w:rPr>
        <w:t xml:space="preserve"> személyiségű alkotó kompromisszumainak megértésé</w:t>
      </w:r>
      <w:r w:rsidRPr="003713F3">
        <w:rPr>
          <w:rFonts w:ascii="Times New Roman" w:hAnsi="Times New Roman"/>
          <w:bCs/>
          <w:sz w:val="24"/>
          <w:szCs w:val="24"/>
        </w:rPr>
        <w:t>hez.</w:t>
      </w:r>
    </w:p>
    <w:p w14:paraId="622C63E4" w14:textId="77777777" w:rsidR="005C3468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0C2EE37B" w14:textId="77777777" w:rsidR="005C3468" w:rsidRDefault="005C3468" w:rsidP="005C346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080D5BB" w14:textId="7E734362" w:rsidR="005C3468" w:rsidRDefault="005C3468" w:rsidP="005C3468">
      <w:pPr>
        <w:spacing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C3468">
        <w:rPr>
          <w:rFonts w:ascii="Times New Roman" w:hAnsi="Times New Roman"/>
          <w:bCs/>
          <w:i/>
          <w:iCs/>
          <w:sz w:val="24"/>
          <w:szCs w:val="24"/>
        </w:rPr>
        <w:t>4. A témával kapcsolatos publikációk</w:t>
      </w:r>
    </w:p>
    <w:p w14:paraId="6B28813D" w14:textId="77777777" w:rsidR="005C3468" w:rsidRDefault="005C3468" w:rsidP="005C3468">
      <w:pPr>
        <w:spacing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D5FC443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6240CF">
        <w:rPr>
          <w:rFonts w:ascii="Times New Roman" w:hAnsi="Times New Roman"/>
          <w:i/>
          <w:sz w:val="24"/>
          <w:szCs w:val="24"/>
        </w:rPr>
        <w:t>Blanka regénye?! Az újraolvasott Katalin utca</w:t>
      </w:r>
      <w:r>
        <w:rPr>
          <w:rFonts w:ascii="Times New Roman" w:hAnsi="Times New Roman"/>
          <w:sz w:val="24"/>
          <w:szCs w:val="24"/>
        </w:rPr>
        <w:t>, Irodalomismeret, 2017/4., 61–71.</w:t>
      </w:r>
    </w:p>
    <w:p w14:paraId="6DF92344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6240CF">
        <w:rPr>
          <w:rFonts w:ascii="Times New Roman" w:hAnsi="Times New Roman"/>
          <w:i/>
          <w:sz w:val="24"/>
          <w:szCs w:val="24"/>
        </w:rPr>
        <w:t>Debreceni Georgikon:</w:t>
      </w:r>
      <w:r w:rsidRPr="006240CF">
        <w:rPr>
          <w:i/>
        </w:rPr>
        <w:t xml:space="preserve"> </w:t>
      </w:r>
      <w:r w:rsidRPr="006240CF">
        <w:rPr>
          <w:rFonts w:ascii="Times New Roman" w:hAnsi="Times New Roman"/>
          <w:i/>
          <w:sz w:val="24"/>
          <w:szCs w:val="24"/>
        </w:rPr>
        <w:t>Közelítések Szabó Magda Abigél című regényéhez</w:t>
      </w:r>
      <w:r w:rsidRPr="006240CF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ortárs, 2017/10.,</w:t>
      </w:r>
      <w:r w:rsidRPr="006240CF">
        <w:rPr>
          <w:rFonts w:ascii="Times New Roman" w:hAnsi="Times New Roman"/>
          <w:sz w:val="24"/>
          <w:szCs w:val="24"/>
        </w:rPr>
        <w:t xml:space="preserve"> 77</w:t>
      </w:r>
      <w:r>
        <w:rPr>
          <w:rFonts w:ascii="Times New Roman" w:hAnsi="Times New Roman"/>
          <w:sz w:val="24"/>
          <w:szCs w:val="24"/>
        </w:rPr>
        <w:t>–</w:t>
      </w:r>
      <w:r w:rsidRPr="006240CF">
        <w:rPr>
          <w:rFonts w:ascii="Times New Roman" w:hAnsi="Times New Roman"/>
          <w:sz w:val="24"/>
          <w:szCs w:val="24"/>
        </w:rPr>
        <w:t>89.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240CF">
        <w:rPr>
          <w:rFonts w:ascii="Times New Roman" w:hAnsi="Times New Roman"/>
          <w:smallCaps/>
          <w:sz w:val="24"/>
          <w:szCs w:val="24"/>
        </w:rPr>
        <w:t>Körömi–</w:t>
      </w:r>
      <w:proofErr w:type="spellStart"/>
      <w:r w:rsidRPr="006240CF">
        <w:rPr>
          <w:rFonts w:ascii="Times New Roman" w:hAnsi="Times New Roman"/>
          <w:smallCaps/>
          <w:sz w:val="24"/>
          <w:szCs w:val="24"/>
        </w:rPr>
        <w:t>Kusper</w:t>
      </w:r>
      <w:proofErr w:type="spellEnd"/>
      <w:r>
        <w:rPr>
          <w:rFonts w:ascii="Times New Roman" w:hAnsi="Times New Roman"/>
          <w:sz w:val="24"/>
          <w:szCs w:val="24"/>
        </w:rPr>
        <w:t>, 2018, 145–159.</w:t>
      </w:r>
    </w:p>
    <w:p w14:paraId="09CADB3F" w14:textId="77777777" w:rsidR="005C3468" w:rsidRPr="00321846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5E75F2">
        <w:rPr>
          <w:rFonts w:ascii="Times New Roman" w:hAnsi="Times New Roman"/>
          <w:i/>
          <w:sz w:val="24"/>
          <w:szCs w:val="24"/>
        </w:rPr>
        <w:lastRenderedPageBreak/>
        <w:t>Két „szakmabeli”: Adalékok a Király István—Szabó Magda-vonal történetéhez</w:t>
      </w:r>
      <w:r w:rsidRPr="005E75F2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Tiszatáj, 2017/10., 71–80. = </w:t>
      </w:r>
      <w:r w:rsidRPr="00C70E66">
        <w:rPr>
          <w:rFonts w:ascii="Times New Roman" w:hAnsi="Times New Roman"/>
          <w:smallCaps/>
          <w:sz w:val="24"/>
          <w:szCs w:val="24"/>
        </w:rPr>
        <w:t>Soltész–V. Gilbert</w:t>
      </w:r>
      <w:r>
        <w:rPr>
          <w:rFonts w:ascii="Times New Roman" w:hAnsi="Times New Roman"/>
          <w:sz w:val="24"/>
          <w:szCs w:val="24"/>
        </w:rPr>
        <w:t>, 2019, 49–66.</w:t>
      </w:r>
    </w:p>
    <w:p w14:paraId="4649B6F5" w14:textId="77777777" w:rsidR="005C3468" w:rsidRPr="00770A1A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E36562">
        <w:rPr>
          <w:rFonts w:ascii="Times New Roman" w:hAnsi="Times New Roman"/>
          <w:i/>
          <w:sz w:val="24"/>
          <w:szCs w:val="24"/>
        </w:rPr>
        <w:t>Szabó Magda korszerűsége: Adalékok egy írói gyakorlat geneziséhez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ortárs,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2019/</w:t>
      </w:r>
      <w:r w:rsidRPr="00770A1A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83–93.</w:t>
      </w:r>
    </w:p>
    <w:p w14:paraId="14FCC241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5E75F2">
        <w:rPr>
          <w:rFonts w:ascii="Times New Roman" w:hAnsi="Times New Roman"/>
          <w:i/>
          <w:sz w:val="24"/>
          <w:szCs w:val="24"/>
        </w:rPr>
        <w:t xml:space="preserve">Szenzáció vagy </w:t>
      </w:r>
      <w:proofErr w:type="spellStart"/>
      <w:r w:rsidRPr="005E75F2">
        <w:rPr>
          <w:rFonts w:ascii="Times New Roman" w:hAnsi="Times New Roman"/>
          <w:i/>
          <w:sz w:val="24"/>
          <w:szCs w:val="24"/>
        </w:rPr>
        <w:t>kanonizáció</w:t>
      </w:r>
      <w:proofErr w:type="spellEnd"/>
      <w:r w:rsidRPr="005E75F2">
        <w:rPr>
          <w:rFonts w:ascii="Times New Roman" w:hAnsi="Times New Roman"/>
          <w:i/>
          <w:sz w:val="24"/>
          <w:szCs w:val="24"/>
        </w:rPr>
        <w:t xml:space="preserve">? Megjegyzések Szabó Magda </w:t>
      </w:r>
      <w:proofErr w:type="spellStart"/>
      <w:r w:rsidRPr="005E75F2">
        <w:rPr>
          <w:rFonts w:ascii="Times New Roman" w:hAnsi="Times New Roman"/>
          <w:i/>
          <w:sz w:val="24"/>
          <w:szCs w:val="24"/>
        </w:rPr>
        <w:t>újrainduló</w:t>
      </w:r>
      <w:proofErr w:type="spellEnd"/>
      <w:r w:rsidRPr="005E75F2">
        <w:rPr>
          <w:rFonts w:ascii="Times New Roman" w:hAnsi="Times New Roman"/>
          <w:i/>
          <w:sz w:val="24"/>
          <w:szCs w:val="24"/>
        </w:rPr>
        <w:t xml:space="preserve"> életműsorozatához</w:t>
      </w:r>
      <w:r w:rsidRPr="005E75F2">
        <w:rPr>
          <w:rFonts w:ascii="Times New Roman" w:hAnsi="Times New Roman"/>
          <w:sz w:val="24"/>
          <w:szCs w:val="24"/>
        </w:rPr>
        <w:t>, Irodalomtörténeti Közlemények, 2019/1.</w:t>
      </w:r>
    </w:p>
    <w:p w14:paraId="3FB4E4A5" w14:textId="77777777" w:rsidR="005C3468" w:rsidRPr="005E75F2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653043">
        <w:rPr>
          <w:rFonts w:ascii="Times New Roman" w:hAnsi="Times New Roman"/>
          <w:i/>
          <w:sz w:val="24"/>
          <w:szCs w:val="24"/>
        </w:rPr>
        <w:t>Szabó Magda száz éve</w:t>
      </w:r>
      <w:r w:rsidRPr="006530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szerk. </w:t>
      </w:r>
      <w:r w:rsidRPr="00653043">
        <w:rPr>
          <w:rFonts w:ascii="Times New Roman" w:hAnsi="Times New Roman"/>
          <w:smallCaps/>
          <w:sz w:val="24"/>
          <w:szCs w:val="24"/>
        </w:rPr>
        <w:t>Soltész</w:t>
      </w:r>
      <w:r>
        <w:rPr>
          <w:rFonts w:ascii="Times New Roman" w:hAnsi="Times New Roman"/>
          <w:sz w:val="24"/>
          <w:szCs w:val="24"/>
        </w:rPr>
        <w:t xml:space="preserve"> Márton,</w:t>
      </w:r>
      <w:r w:rsidRPr="00653043">
        <w:rPr>
          <w:rFonts w:ascii="Times New Roman" w:hAnsi="Times New Roman"/>
          <w:sz w:val="24"/>
          <w:szCs w:val="24"/>
        </w:rPr>
        <w:t xml:space="preserve"> V. </w:t>
      </w:r>
      <w:r w:rsidRPr="00653043">
        <w:rPr>
          <w:rFonts w:ascii="Times New Roman" w:hAnsi="Times New Roman"/>
          <w:smallCaps/>
          <w:sz w:val="24"/>
          <w:szCs w:val="24"/>
        </w:rPr>
        <w:t>Gilbert</w:t>
      </w:r>
      <w:r w:rsidRPr="00653043">
        <w:rPr>
          <w:rFonts w:ascii="Times New Roman" w:hAnsi="Times New Roman"/>
          <w:sz w:val="24"/>
          <w:szCs w:val="24"/>
        </w:rPr>
        <w:t xml:space="preserve"> Edit</w:t>
      </w:r>
      <w:r>
        <w:rPr>
          <w:rFonts w:ascii="Times New Roman" w:hAnsi="Times New Roman"/>
          <w:sz w:val="24"/>
          <w:szCs w:val="24"/>
        </w:rPr>
        <w:t xml:space="preserve"> Budapest, Széphalom – Orpheusz, 2019.</w:t>
      </w:r>
    </w:p>
    <w:p w14:paraId="19B46E27" w14:textId="77777777" w:rsidR="005C3468" w:rsidRPr="00770A1A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E36562">
        <w:rPr>
          <w:rFonts w:ascii="Times New Roman" w:hAnsi="Times New Roman"/>
          <w:i/>
          <w:sz w:val="24"/>
          <w:szCs w:val="24"/>
        </w:rPr>
        <w:t xml:space="preserve">Megmaradt </w:t>
      </w:r>
      <w:proofErr w:type="spellStart"/>
      <w:r w:rsidRPr="00E36562">
        <w:rPr>
          <w:rFonts w:ascii="Times New Roman" w:hAnsi="Times New Roman"/>
          <w:i/>
          <w:sz w:val="24"/>
          <w:szCs w:val="24"/>
        </w:rPr>
        <w:t>Szobotkáné</w:t>
      </w:r>
      <w:proofErr w:type="spellEnd"/>
      <w:r w:rsidRPr="00E36562">
        <w:rPr>
          <w:rFonts w:ascii="Times New Roman" w:hAnsi="Times New Roman"/>
          <w:i/>
          <w:sz w:val="24"/>
          <w:szCs w:val="24"/>
        </w:rPr>
        <w:t>?!: Gondolatok az író feleségéről és az írónő férjéről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A1A">
        <w:rPr>
          <w:rFonts w:ascii="Times New Roman" w:hAnsi="Times New Roman"/>
          <w:sz w:val="24"/>
          <w:szCs w:val="24"/>
        </w:rPr>
        <w:t>NOE L</w:t>
      </w:r>
      <w:r>
        <w:rPr>
          <w:rFonts w:ascii="Times New Roman" w:hAnsi="Times New Roman"/>
          <w:sz w:val="24"/>
          <w:szCs w:val="24"/>
        </w:rPr>
        <w:t>evelek,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2020/</w:t>
      </w:r>
      <w:r w:rsidRPr="00770A1A">
        <w:rPr>
          <w:rFonts w:ascii="Times New Roman" w:hAnsi="Times New Roman"/>
          <w:sz w:val="24"/>
          <w:szCs w:val="24"/>
        </w:rPr>
        <w:t>330–331</w:t>
      </w:r>
      <w:r>
        <w:rPr>
          <w:rFonts w:ascii="Times New Roman" w:hAnsi="Times New Roman"/>
          <w:sz w:val="24"/>
          <w:szCs w:val="24"/>
        </w:rPr>
        <w:t>.,</w:t>
      </w:r>
      <w:r w:rsidRPr="00770A1A">
        <w:rPr>
          <w:rFonts w:ascii="Times New Roman" w:hAnsi="Times New Roman"/>
          <w:sz w:val="24"/>
          <w:szCs w:val="24"/>
        </w:rPr>
        <w:t xml:space="preserve"> 32–33.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F28A56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5E75F2">
        <w:rPr>
          <w:rFonts w:ascii="Times New Roman" w:hAnsi="Times New Roman"/>
          <w:i/>
          <w:sz w:val="24"/>
          <w:szCs w:val="24"/>
        </w:rPr>
        <w:t>Szélkakasok és széplelkek: A Nagy Péter—Szabó Magda-vonal</w:t>
      </w:r>
      <w:r w:rsidRPr="005E75F2">
        <w:rPr>
          <w:rFonts w:ascii="Times New Roman" w:hAnsi="Times New Roman"/>
          <w:sz w:val="24"/>
          <w:szCs w:val="24"/>
        </w:rPr>
        <w:t>, Irodalomtörténeti Közlemények, 2020/1.</w:t>
      </w:r>
    </w:p>
    <w:p w14:paraId="28B1D99D" w14:textId="77777777" w:rsidR="005C3468" w:rsidRPr="00770A1A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E36562">
        <w:rPr>
          <w:rFonts w:ascii="Times New Roman" w:hAnsi="Times New Roman"/>
          <w:i/>
          <w:sz w:val="24"/>
          <w:szCs w:val="24"/>
        </w:rPr>
        <w:t>Ecsetvonások Márquez portréjához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rszágút, 2021/</w:t>
      </w:r>
      <w:r w:rsidRPr="00770A1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.,</w:t>
      </w:r>
      <w:r w:rsidRPr="00770A1A">
        <w:rPr>
          <w:rFonts w:ascii="Times New Roman" w:hAnsi="Times New Roman"/>
          <w:sz w:val="24"/>
          <w:szCs w:val="24"/>
        </w:rPr>
        <w:t xml:space="preserve"> 23–25.</w:t>
      </w:r>
    </w:p>
    <w:p w14:paraId="49F623BE" w14:textId="77777777" w:rsidR="005C3468" w:rsidRPr="00653043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321846">
        <w:rPr>
          <w:rFonts w:ascii="Times New Roman" w:hAnsi="Times New Roman"/>
          <w:i/>
          <w:sz w:val="24"/>
          <w:szCs w:val="24"/>
        </w:rPr>
        <w:t xml:space="preserve">Egyik a másikban, avagy a forrás kritikája: </w:t>
      </w:r>
      <w:proofErr w:type="spellStart"/>
      <w:r w:rsidRPr="00321846">
        <w:rPr>
          <w:rFonts w:ascii="Times New Roman" w:hAnsi="Times New Roman"/>
          <w:i/>
          <w:sz w:val="24"/>
          <w:szCs w:val="24"/>
        </w:rPr>
        <w:t>Szobotka</w:t>
      </w:r>
      <w:proofErr w:type="spellEnd"/>
      <w:r w:rsidRPr="00321846">
        <w:rPr>
          <w:rFonts w:ascii="Times New Roman" w:hAnsi="Times New Roman"/>
          <w:i/>
          <w:sz w:val="24"/>
          <w:szCs w:val="24"/>
        </w:rPr>
        <w:t xml:space="preserve"> Tibor naplójáról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184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iteratura</w:t>
      </w:r>
      <w:proofErr w:type="spellEnd"/>
      <w:r>
        <w:rPr>
          <w:rFonts w:ascii="Times New Roman" w:hAnsi="Times New Roman"/>
          <w:sz w:val="24"/>
          <w:szCs w:val="24"/>
        </w:rPr>
        <w:t>, 2021/</w:t>
      </w:r>
      <w:r w:rsidRPr="003218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.,</w:t>
      </w:r>
      <w:r w:rsidRPr="00321846">
        <w:rPr>
          <w:rFonts w:ascii="Times New Roman" w:hAnsi="Times New Roman"/>
          <w:sz w:val="24"/>
          <w:szCs w:val="24"/>
        </w:rPr>
        <w:t xml:space="preserve"> 431</w:t>
      </w:r>
      <w:r>
        <w:rPr>
          <w:rFonts w:ascii="Times New Roman" w:hAnsi="Times New Roman"/>
          <w:sz w:val="24"/>
          <w:szCs w:val="24"/>
        </w:rPr>
        <w:t>–</w:t>
      </w:r>
      <w:r w:rsidRPr="00321846">
        <w:rPr>
          <w:rFonts w:ascii="Times New Roman" w:hAnsi="Times New Roman"/>
          <w:sz w:val="24"/>
          <w:szCs w:val="24"/>
        </w:rPr>
        <w:t>446.</w:t>
      </w:r>
    </w:p>
    <w:p w14:paraId="02C60359" w14:textId="77777777" w:rsidR="005C3468" w:rsidRPr="00770A1A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E36562">
        <w:rPr>
          <w:rFonts w:ascii="Times New Roman" w:hAnsi="Times New Roman"/>
          <w:i/>
          <w:sz w:val="24"/>
          <w:szCs w:val="24"/>
        </w:rPr>
        <w:t>Pilátus udvarában (I.): A terápiás írás mintázatai Szabó Magda regényében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Korunk, 2021/</w:t>
      </w:r>
      <w:r w:rsidRPr="00770A1A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93–104.</w:t>
      </w:r>
    </w:p>
    <w:p w14:paraId="017B2036" w14:textId="77777777" w:rsidR="005C3468" w:rsidRPr="00770A1A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E36562">
        <w:rPr>
          <w:rFonts w:ascii="Times New Roman" w:hAnsi="Times New Roman"/>
          <w:i/>
          <w:sz w:val="24"/>
          <w:szCs w:val="24"/>
        </w:rPr>
        <w:t>Pilátus udvarában (II.): A terápiás írás mintázatai Szabó Magda regényében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orunk, 2021/9., 101–108.</w:t>
      </w:r>
    </w:p>
    <w:p w14:paraId="6B8F77E8" w14:textId="77777777" w:rsidR="005C3468" w:rsidRPr="00770A1A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C70E66">
        <w:rPr>
          <w:rFonts w:ascii="Times New Roman" w:hAnsi="Times New Roman"/>
          <w:i/>
          <w:sz w:val="24"/>
          <w:szCs w:val="24"/>
        </w:rPr>
        <w:t>Szabó Magda: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i/>
          <w:sz w:val="24"/>
          <w:szCs w:val="24"/>
        </w:rPr>
        <w:t>Az ajtó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i/>
          <w:sz w:val="24"/>
          <w:szCs w:val="24"/>
        </w:rPr>
        <w:t>Magyar irodalmi művek 1956–2016</w:t>
      </w:r>
      <w:r>
        <w:rPr>
          <w:rFonts w:ascii="Times New Roman" w:hAnsi="Times New Roman"/>
          <w:sz w:val="24"/>
          <w:szCs w:val="24"/>
        </w:rPr>
        <w:t>, szerk.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smallCaps/>
          <w:sz w:val="24"/>
          <w:szCs w:val="24"/>
        </w:rPr>
        <w:t>Falusi</w:t>
      </w:r>
      <w:r w:rsidRPr="00770A1A">
        <w:rPr>
          <w:rFonts w:ascii="Times New Roman" w:hAnsi="Times New Roman"/>
          <w:sz w:val="24"/>
          <w:szCs w:val="24"/>
        </w:rPr>
        <w:t xml:space="preserve"> Márton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smallCaps/>
          <w:sz w:val="24"/>
          <w:szCs w:val="24"/>
        </w:rPr>
        <w:t>Pécsi</w:t>
      </w:r>
      <w:r w:rsidRPr="00770A1A">
        <w:rPr>
          <w:rFonts w:ascii="Times New Roman" w:hAnsi="Times New Roman"/>
          <w:sz w:val="24"/>
          <w:szCs w:val="24"/>
        </w:rPr>
        <w:t xml:space="preserve"> Györgyi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Budapest, MMA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A1A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514–515.</w:t>
      </w:r>
    </w:p>
    <w:p w14:paraId="79F7EA45" w14:textId="77777777" w:rsidR="005C3468" w:rsidRPr="00770A1A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E36562">
        <w:rPr>
          <w:rFonts w:ascii="Times New Roman" w:hAnsi="Times New Roman"/>
          <w:i/>
          <w:sz w:val="24"/>
          <w:szCs w:val="24"/>
        </w:rPr>
        <w:t>Szabó Magda: Erőnk szerint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i/>
          <w:sz w:val="24"/>
          <w:szCs w:val="24"/>
        </w:rPr>
        <w:t>Magyar irodalmi művek 1956–2016</w:t>
      </w:r>
      <w:r>
        <w:rPr>
          <w:rFonts w:ascii="Times New Roman" w:hAnsi="Times New Roman"/>
          <w:sz w:val="24"/>
          <w:szCs w:val="24"/>
        </w:rPr>
        <w:t>, szerk.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smallCaps/>
          <w:sz w:val="24"/>
          <w:szCs w:val="24"/>
        </w:rPr>
        <w:t>Falusi</w:t>
      </w:r>
      <w:r w:rsidRPr="00770A1A">
        <w:rPr>
          <w:rFonts w:ascii="Times New Roman" w:hAnsi="Times New Roman"/>
          <w:sz w:val="24"/>
          <w:szCs w:val="24"/>
        </w:rPr>
        <w:t xml:space="preserve"> Márton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smallCaps/>
          <w:sz w:val="24"/>
          <w:szCs w:val="24"/>
        </w:rPr>
        <w:t>Pécsi</w:t>
      </w:r>
      <w:r w:rsidRPr="00770A1A">
        <w:rPr>
          <w:rFonts w:ascii="Times New Roman" w:hAnsi="Times New Roman"/>
          <w:sz w:val="24"/>
          <w:szCs w:val="24"/>
        </w:rPr>
        <w:t xml:space="preserve"> Györgyi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Budapest, MMA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A1A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389–390.</w:t>
      </w:r>
    </w:p>
    <w:p w14:paraId="36E354EC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E36562">
        <w:rPr>
          <w:rFonts w:ascii="Times New Roman" w:hAnsi="Times New Roman"/>
          <w:i/>
          <w:sz w:val="24"/>
          <w:szCs w:val="24"/>
        </w:rPr>
        <w:t>Szabó Magda: Régimódi történet</w:t>
      </w:r>
      <w:r>
        <w:rPr>
          <w:rFonts w:ascii="Times New Roman" w:hAnsi="Times New Roman"/>
          <w:sz w:val="24"/>
          <w:szCs w:val="24"/>
        </w:rPr>
        <w:t xml:space="preserve"> =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i/>
          <w:sz w:val="24"/>
          <w:szCs w:val="24"/>
        </w:rPr>
        <w:t>Magyar irodalmi művek 1956–2016</w:t>
      </w:r>
      <w:r>
        <w:rPr>
          <w:rFonts w:ascii="Times New Roman" w:hAnsi="Times New Roman"/>
          <w:sz w:val="24"/>
          <w:szCs w:val="24"/>
        </w:rPr>
        <w:t>, szerk.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smallCaps/>
          <w:sz w:val="24"/>
          <w:szCs w:val="24"/>
        </w:rPr>
        <w:t xml:space="preserve">Falusi </w:t>
      </w:r>
      <w:r w:rsidRPr="00770A1A">
        <w:rPr>
          <w:rFonts w:ascii="Times New Roman" w:hAnsi="Times New Roman"/>
          <w:sz w:val="24"/>
          <w:szCs w:val="24"/>
        </w:rPr>
        <w:t>Márton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</w:t>
      </w:r>
      <w:r w:rsidRPr="00E36562">
        <w:rPr>
          <w:rFonts w:ascii="Times New Roman" w:hAnsi="Times New Roman"/>
          <w:smallCaps/>
          <w:sz w:val="24"/>
          <w:szCs w:val="24"/>
        </w:rPr>
        <w:t>Pécsi</w:t>
      </w:r>
      <w:r w:rsidRPr="00770A1A">
        <w:rPr>
          <w:rFonts w:ascii="Times New Roman" w:hAnsi="Times New Roman"/>
          <w:sz w:val="24"/>
          <w:szCs w:val="24"/>
        </w:rPr>
        <w:t xml:space="preserve"> Györgyi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Budapest, MMA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0A1A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>,</w:t>
      </w:r>
      <w:r w:rsidRPr="00770A1A">
        <w:rPr>
          <w:rFonts w:ascii="Times New Roman" w:hAnsi="Times New Roman"/>
          <w:sz w:val="24"/>
          <w:szCs w:val="24"/>
        </w:rPr>
        <w:t xml:space="preserve"> 319–320.</w:t>
      </w:r>
    </w:p>
    <w:p w14:paraId="4A3DC550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6240CF">
        <w:rPr>
          <w:rFonts w:ascii="Times New Roman" w:hAnsi="Times New Roman"/>
          <w:i/>
          <w:sz w:val="24"/>
          <w:szCs w:val="24"/>
        </w:rPr>
        <w:t>A semlegesség illúziója: Közelítések az Aczél György</w:t>
      </w:r>
      <w:r>
        <w:rPr>
          <w:rFonts w:ascii="Times New Roman" w:hAnsi="Times New Roman"/>
          <w:i/>
          <w:sz w:val="24"/>
          <w:szCs w:val="24"/>
        </w:rPr>
        <w:t>—</w:t>
      </w:r>
      <w:r w:rsidRPr="006240CF">
        <w:rPr>
          <w:rFonts w:ascii="Times New Roman" w:hAnsi="Times New Roman"/>
          <w:i/>
          <w:sz w:val="24"/>
          <w:szCs w:val="24"/>
        </w:rPr>
        <w:t>Szabó Magda-vonalhoz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240CF">
        <w:rPr>
          <w:rFonts w:ascii="Times New Roman" w:hAnsi="Times New Roman"/>
          <w:i/>
          <w:sz w:val="24"/>
          <w:szCs w:val="24"/>
        </w:rPr>
        <w:t>Batthyány Lajos Alapítvány Doktori Ösztöndíjprogram Tanulmánykötet 2020/2021</w:t>
      </w:r>
      <w:r>
        <w:rPr>
          <w:rFonts w:ascii="Times New Roman" w:hAnsi="Times New Roman"/>
          <w:sz w:val="24"/>
          <w:szCs w:val="24"/>
        </w:rPr>
        <w:t>, szerk.</w:t>
      </w:r>
      <w:r w:rsidRPr="006B724D">
        <w:rPr>
          <w:rFonts w:ascii="Times New Roman" w:hAnsi="Times New Roman"/>
          <w:sz w:val="24"/>
          <w:szCs w:val="24"/>
        </w:rPr>
        <w:t xml:space="preserve"> </w:t>
      </w:r>
      <w:r w:rsidRPr="006240CF">
        <w:rPr>
          <w:rFonts w:ascii="Times New Roman" w:hAnsi="Times New Roman"/>
          <w:smallCaps/>
          <w:sz w:val="24"/>
          <w:szCs w:val="24"/>
        </w:rPr>
        <w:t>Dezső</w:t>
      </w:r>
      <w:r w:rsidRPr="006B724D">
        <w:rPr>
          <w:rFonts w:ascii="Times New Roman" w:hAnsi="Times New Roman"/>
          <w:sz w:val="24"/>
          <w:szCs w:val="24"/>
        </w:rPr>
        <w:t xml:space="preserve"> Tamás</w:t>
      </w:r>
      <w:r>
        <w:rPr>
          <w:rFonts w:ascii="Times New Roman" w:hAnsi="Times New Roman"/>
          <w:sz w:val="24"/>
          <w:szCs w:val="24"/>
        </w:rPr>
        <w:t>,</w:t>
      </w:r>
      <w:r w:rsidRPr="006B724D">
        <w:rPr>
          <w:rFonts w:ascii="Times New Roman" w:hAnsi="Times New Roman"/>
          <w:sz w:val="24"/>
          <w:szCs w:val="24"/>
        </w:rPr>
        <w:t xml:space="preserve"> </w:t>
      </w:r>
      <w:r w:rsidRPr="006240CF">
        <w:rPr>
          <w:rFonts w:ascii="Times New Roman" w:hAnsi="Times New Roman"/>
          <w:smallCaps/>
          <w:sz w:val="24"/>
          <w:szCs w:val="24"/>
        </w:rPr>
        <w:t>Pócza</w:t>
      </w:r>
      <w:r w:rsidRPr="006B724D">
        <w:rPr>
          <w:rFonts w:ascii="Times New Roman" w:hAnsi="Times New Roman"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724D">
        <w:rPr>
          <w:rFonts w:ascii="Times New Roman" w:hAnsi="Times New Roman"/>
          <w:sz w:val="24"/>
          <w:szCs w:val="24"/>
        </w:rPr>
        <w:t>Budapest, Batthyány Lajos Alapítvány</w:t>
      </w:r>
      <w:r>
        <w:rPr>
          <w:rFonts w:ascii="Times New Roman" w:hAnsi="Times New Roman"/>
          <w:sz w:val="24"/>
          <w:szCs w:val="24"/>
        </w:rPr>
        <w:t>,</w:t>
      </w:r>
      <w:r w:rsidRPr="006B7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2022, </w:t>
      </w:r>
      <w:r w:rsidRPr="006B724D">
        <w:rPr>
          <w:rFonts w:ascii="Times New Roman" w:hAnsi="Times New Roman"/>
          <w:sz w:val="24"/>
          <w:szCs w:val="24"/>
        </w:rPr>
        <w:t>710</w:t>
      </w:r>
      <w:r>
        <w:rPr>
          <w:rFonts w:ascii="Times New Roman" w:hAnsi="Times New Roman"/>
          <w:sz w:val="24"/>
          <w:szCs w:val="24"/>
        </w:rPr>
        <w:t>–</w:t>
      </w:r>
      <w:r w:rsidRPr="006B724D">
        <w:rPr>
          <w:rFonts w:ascii="Times New Roman" w:hAnsi="Times New Roman"/>
          <w:sz w:val="24"/>
          <w:szCs w:val="24"/>
        </w:rPr>
        <w:t>750.</w:t>
      </w:r>
    </w:p>
    <w:p w14:paraId="3EC77743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6240CF">
        <w:rPr>
          <w:rFonts w:ascii="Times New Roman" w:hAnsi="Times New Roman"/>
          <w:i/>
          <w:sz w:val="24"/>
          <w:szCs w:val="24"/>
        </w:rPr>
        <w:t>A Szabó Magda-jelenség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240CF">
        <w:rPr>
          <w:rFonts w:ascii="Times New Roman" w:hAnsi="Times New Roman"/>
          <w:i/>
          <w:sz w:val="24"/>
          <w:szCs w:val="24"/>
        </w:rPr>
        <w:t>Batthyány Lajos Alapítvány Doktori Ösztöndíjprogram Tanulmánykötet 2021/2022</w:t>
      </w:r>
      <w:r>
        <w:rPr>
          <w:rFonts w:ascii="Times New Roman" w:hAnsi="Times New Roman"/>
          <w:sz w:val="24"/>
          <w:szCs w:val="24"/>
        </w:rPr>
        <w:t xml:space="preserve">, szerk. </w:t>
      </w:r>
      <w:r w:rsidRPr="006240CF">
        <w:rPr>
          <w:rFonts w:ascii="Times New Roman" w:hAnsi="Times New Roman"/>
          <w:smallCaps/>
          <w:sz w:val="24"/>
          <w:szCs w:val="24"/>
        </w:rPr>
        <w:t>Dezső</w:t>
      </w:r>
      <w:r w:rsidRPr="006B724D">
        <w:rPr>
          <w:rFonts w:ascii="Times New Roman" w:hAnsi="Times New Roman"/>
          <w:sz w:val="24"/>
          <w:szCs w:val="24"/>
        </w:rPr>
        <w:t xml:space="preserve"> Tamás</w:t>
      </w:r>
      <w:r>
        <w:rPr>
          <w:rFonts w:ascii="Times New Roman" w:hAnsi="Times New Roman"/>
          <w:sz w:val="24"/>
          <w:szCs w:val="24"/>
        </w:rPr>
        <w:t>,</w:t>
      </w:r>
      <w:r w:rsidRPr="006B724D">
        <w:rPr>
          <w:rFonts w:ascii="Times New Roman" w:hAnsi="Times New Roman"/>
          <w:sz w:val="24"/>
          <w:szCs w:val="24"/>
        </w:rPr>
        <w:t xml:space="preserve"> </w:t>
      </w:r>
      <w:r w:rsidRPr="006240CF">
        <w:rPr>
          <w:rFonts w:ascii="Times New Roman" w:hAnsi="Times New Roman"/>
          <w:smallCaps/>
          <w:sz w:val="24"/>
          <w:szCs w:val="24"/>
        </w:rPr>
        <w:t>Pócza</w:t>
      </w:r>
      <w:r w:rsidRPr="006B724D">
        <w:rPr>
          <w:rFonts w:ascii="Times New Roman" w:hAnsi="Times New Roman"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724D">
        <w:rPr>
          <w:rFonts w:ascii="Times New Roman" w:hAnsi="Times New Roman"/>
          <w:sz w:val="24"/>
          <w:szCs w:val="24"/>
        </w:rPr>
        <w:t>Budapest, Batthyány Lajos Alapítvány</w:t>
      </w:r>
      <w:r>
        <w:rPr>
          <w:rFonts w:ascii="Times New Roman" w:hAnsi="Times New Roman"/>
          <w:sz w:val="24"/>
          <w:szCs w:val="24"/>
        </w:rPr>
        <w:t>,</w:t>
      </w:r>
      <w:r w:rsidRPr="006B724D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>,</w:t>
      </w:r>
      <w:r w:rsidRPr="006B724D">
        <w:rPr>
          <w:rFonts w:ascii="Times New Roman" w:hAnsi="Times New Roman"/>
          <w:sz w:val="24"/>
          <w:szCs w:val="24"/>
        </w:rPr>
        <w:t xml:space="preserve"> 418</w:t>
      </w:r>
      <w:r>
        <w:rPr>
          <w:rFonts w:ascii="Times New Roman" w:hAnsi="Times New Roman"/>
          <w:sz w:val="24"/>
          <w:szCs w:val="24"/>
        </w:rPr>
        <w:t>–</w:t>
      </w:r>
      <w:r w:rsidRPr="006B724D">
        <w:rPr>
          <w:rFonts w:ascii="Times New Roman" w:hAnsi="Times New Roman"/>
          <w:sz w:val="24"/>
          <w:szCs w:val="24"/>
        </w:rPr>
        <w:t>426.</w:t>
      </w:r>
    </w:p>
    <w:p w14:paraId="05372015" w14:textId="77777777" w:rsid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 w:rsidRPr="00DB416F">
        <w:rPr>
          <w:rFonts w:ascii="Times New Roman" w:hAnsi="Times New Roman"/>
          <w:i/>
          <w:sz w:val="24"/>
          <w:szCs w:val="24"/>
        </w:rPr>
        <w:lastRenderedPageBreak/>
        <w:t>Szabó Magda médiaszemélyiségének protestáns gyökerei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240CF">
        <w:rPr>
          <w:rFonts w:ascii="Times New Roman" w:hAnsi="Times New Roman"/>
          <w:i/>
          <w:sz w:val="24"/>
          <w:szCs w:val="24"/>
        </w:rPr>
        <w:t>Batthyány Lajos Alapítvány Doktori Öszt</w:t>
      </w:r>
      <w:r>
        <w:rPr>
          <w:rFonts w:ascii="Times New Roman" w:hAnsi="Times New Roman"/>
          <w:i/>
          <w:sz w:val="24"/>
          <w:szCs w:val="24"/>
        </w:rPr>
        <w:t>öndíjprogram Tanulmánykötet 2022/2023</w:t>
      </w:r>
      <w:r>
        <w:rPr>
          <w:rFonts w:ascii="Times New Roman" w:hAnsi="Times New Roman"/>
          <w:sz w:val="24"/>
          <w:szCs w:val="24"/>
        </w:rPr>
        <w:t xml:space="preserve">, szerk. </w:t>
      </w:r>
      <w:r w:rsidRPr="006240CF">
        <w:rPr>
          <w:rFonts w:ascii="Times New Roman" w:hAnsi="Times New Roman"/>
          <w:smallCaps/>
          <w:sz w:val="24"/>
          <w:szCs w:val="24"/>
        </w:rPr>
        <w:t>Dezső</w:t>
      </w:r>
      <w:r w:rsidRPr="006B724D">
        <w:rPr>
          <w:rFonts w:ascii="Times New Roman" w:hAnsi="Times New Roman"/>
          <w:sz w:val="24"/>
          <w:szCs w:val="24"/>
        </w:rPr>
        <w:t xml:space="preserve"> Tamás</w:t>
      </w:r>
      <w:r>
        <w:rPr>
          <w:rFonts w:ascii="Times New Roman" w:hAnsi="Times New Roman"/>
          <w:sz w:val="24"/>
          <w:szCs w:val="24"/>
        </w:rPr>
        <w:t>,</w:t>
      </w:r>
      <w:r w:rsidRPr="006B724D">
        <w:rPr>
          <w:rFonts w:ascii="Times New Roman" w:hAnsi="Times New Roman"/>
          <w:sz w:val="24"/>
          <w:szCs w:val="24"/>
        </w:rPr>
        <w:t xml:space="preserve"> </w:t>
      </w:r>
      <w:r w:rsidRPr="006240CF">
        <w:rPr>
          <w:rFonts w:ascii="Times New Roman" w:hAnsi="Times New Roman"/>
          <w:smallCaps/>
          <w:sz w:val="24"/>
          <w:szCs w:val="24"/>
        </w:rPr>
        <w:t>Pócza</w:t>
      </w:r>
      <w:r w:rsidRPr="006B724D">
        <w:rPr>
          <w:rFonts w:ascii="Times New Roman" w:hAnsi="Times New Roman"/>
          <w:sz w:val="24"/>
          <w:szCs w:val="24"/>
        </w:rPr>
        <w:t xml:space="preserve"> István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724D">
        <w:rPr>
          <w:rFonts w:ascii="Times New Roman" w:hAnsi="Times New Roman"/>
          <w:sz w:val="24"/>
          <w:szCs w:val="24"/>
        </w:rPr>
        <w:t>Budapest, Batthyány Lajos Alapítvány</w:t>
      </w:r>
      <w:r>
        <w:rPr>
          <w:rFonts w:ascii="Times New Roman" w:hAnsi="Times New Roman"/>
          <w:sz w:val="24"/>
          <w:szCs w:val="24"/>
        </w:rPr>
        <w:t>, 2023,</w:t>
      </w:r>
      <w:r w:rsidRPr="00DB416F">
        <w:rPr>
          <w:rFonts w:ascii="Times New Roman" w:hAnsi="Times New Roman"/>
          <w:sz w:val="24"/>
          <w:szCs w:val="24"/>
        </w:rPr>
        <w:t xml:space="preserve"> 254</w:t>
      </w:r>
      <w:r>
        <w:rPr>
          <w:rFonts w:ascii="Times New Roman" w:hAnsi="Times New Roman"/>
          <w:sz w:val="24"/>
          <w:szCs w:val="24"/>
        </w:rPr>
        <w:t>–</w:t>
      </w:r>
      <w:r w:rsidRPr="00DB416F">
        <w:rPr>
          <w:rFonts w:ascii="Times New Roman" w:hAnsi="Times New Roman"/>
          <w:sz w:val="24"/>
          <w:szCs w:val="24"/>
        </w:rPr>
        <w:t>262.</w:t>
      </w:r>
    </w:p>
    <w:p w14:paraId="044BC154" w14:textId="70BA1897" w:rsidR="005C3468" w:rsidRPr="005C3468" w:rsidRDefault="005C3468" w:rsidP="005C3468">
      <w:pPr>
        <w:pStyle w:val="Lbjegyzetszveg"/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látható és láthatatlan Szabó Magda („nekem is csak maszkjaim voltak”. Tanulmányok Szabó Magda életművéről)</w:t>
      </w:r>
      <w:r>
        <w:rPr>
          <w:rFonts w:ascii="Times New Roman" w:hAnsi="Times New Roman"/>
          <w:sz w:val="24"/>
          <w:szCs w:val="24"/>
        </w:rPr>
        <w:t>, Új Forrás, 2023/10., 82–87.</w:t>
      </w:r>
    </w:p>
    <w:sectPr w:rsidR="005C3468" w:rsidRPr="005C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41261" w14:textId="77777777" w:rsidR="00074E1B" w:rsidRDefault="00074E1B" w:rsidP="005C3468">
      <w:r>
        <w:separator/>
      </w:r>
    </w:p>
  </w:endnote>
  <w:endnote w:type="continuationSeparator" w:id="0">
    <w:p w14:paraId="6214FEA1" w14:textId="77777777" w:rsidR="00074E1B" w:rsidRDefault="00074E1B" w:rsidP="005C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52BC5" w14:textId="77777777" w:rsidR="00074E1B" w:rsidRDefault="00074E1B" w:rsidP="005C3468">
      <w:r>
        <w:separator/>
      </w:r>
    </w:p>
  </w:footnote>
  <w:footnote w:type="continuationSeparator" w:id="0">
    <w:p w14:paraId="196142AA" w14:textId="77777777" w:rsidR="00074E1B" w:rsidRDefault="00074E1B" w:rsidP="005C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21242"/>
    <w:multiLevelType w:val="hybridMultilevel"/>
    <w:tmpl w:val="D8C0E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06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3468"/>
    <w:rsid w:val="00074E1B"/>
    <w:rsid w:val="00236500"/>
    <w:rsid w:val="00466886"/>
    <w:rsid w:val="005C3468"/>
    <w:rsid w:val="0061322C"/>
    <w:rsid w:val="00670600"/>
    <w:rsid w:val="006A7813"/>
    <w:rsid w:val="009F02EB"/>
    <w:rsid w:val="00BE6C6A"/>
    <w:rsid w:val="00D15545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2445"/>
  <w15:chartTrackingRefBased/>
  <w15:docId w15:val="{5F5658AD-6B19-4F96-8D89-50DDD649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468"/>
    <w:pPr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C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34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34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34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34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34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34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34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34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3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34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346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3468"/>
    <w:rPr>
      <w:rFonts w:eastAsiaTheme="majorEastAsia" w:cstheme="majorBidi"/>
      <w:color w:val="365F9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346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3468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346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3468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5C3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C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34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C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3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C346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99"/>
    <w:qFormat/>
    <w:rsid w:val="005C34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C3468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34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346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5C3468"/>
    <w:rPr>
      <w:b/>
      <w:bCs/>
      <w:smallCaps/>
      <w:color w:val="365F9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unhideWhenUsed/>
    <w:rsid w:val="005C3468"/>
  </w:style>
  <w:style w:type="character" w:customStyle="1" w:styleId="LbjegyzetszvegChar">
    <w:name w:val="Lábjegyzetszöveg Char"/>
    <w:basedOn w:val="Bekezdsalapbettpusa"/>
    <w:link w:val="Lbjegyzetszveg"/>
    <w:uiPriority w:val="99"/>
    <w:rsid w:val="005C3468"/>
    <w:rPr>
      <w:rFonts w:ascii="Calibri" w:eastAsia="Calibri" w:hAnsi="Calibri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5C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1197</Words>
  <Characters>8265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Soltész</dc:creator>
  <cp:keywords/>
  <dc:description/>
  <cp:lastModifiedBy>Márton Soltész</cp:lastModifiedBy>
  <cp:revision>4</cp:revision>
  <dcterms:created xsi:type="dcterms:W3CDTF">2025-05-14T11:28:00Z</dcterms:created>
  <dcterms:modified xsi:type="dcterms:W3CDTF">2025-05-14T12:13:00Z</dcterms:modified>
</cp:coreProperties>
</file>