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A966" w14:textId="77777777" w:rsidR="00D35003" w:rsidRDefault="00000000">
      <w:pPr>
        <w:pStyle w:val="Cmsor1"/>
      </w:pPr>
      <w:bookmarkStart w:id="0" w:name="szakmai-önéletrajz"/>
      <w:r>
        <w:t>Szakmai önéletrajz</w:t>
      </w:r>
    </w:p>
    <w:p w14:paraId="39EC7C6E" w14:textId="77777777" w:rsidR="00D35003" w:rsidRDefault="00000000">
      <w:pPr>
        <w:pStyle w:val="Cmsor2"/>
      </w:pPr>
      <w:bookmarkStart w:id="1" w:name="angelika-osullivan-phd"/>
      <w:r>
        <w:t>Angelika O’Sullivan (PhD)</w:t>
      </w:r>
    </w:p>
    <w:p w14:paraId="406E61A7" w14:textId="77777777" w:rsidR="00D35003" w:rsidRDefault="00000000">
      <w:pPr>
        <w:pStyle w:val="FirstParagraph"/>
      </w:pPr>
      <w:r>
        <w:t>43 Asterweg, Gießen, 35390, Németország</w:t>
      </w:r>
      <w:r>
        <w:br/>
        <w:t>004917623548702</w:t>
      </w:r>
      <w:r>
        <w:br/>
        <w:t>aosullivan@gmx.net</w:t>
      </w:r>
    </w:p>
    <w:p w14:paraId="65A50767" w14:textId="77777777" w:rsidR="00D35003" w:rsidRDefault="00000000">
      <w:pPr>
        <w:pStyle w:val="Szvegtrzs"/>
      </w:pPr>
      <w:r>
        <w:t>Születési dátum: 1974. június 27.</w:t>
      </w:r>
      <w:r>
        <w:br/>
        <w:t>Születési hely: Miskolc, Magyarország</w:t>
      </w:r>
      <w:r>
        <w:br/>
        <w:t>Állampolgárság: magyar és német (állandó németországi lakos)</w:t>
      </w:r>
    </w:p>
    <w:p w14:paraId="0719DC0E" w14:textId="77777777" w:rsidR="00D35003" w:rsidRDefault="00000000">
      <w:r>
        <w:pict w14:anchorId="7C1E0F78">
          <v:rect id="_x0000_i1073" style="width:0;height:1.5pt" o:hralign="center" o:hrstd="t" o:hr="t"/>
        </w:pict>
      </w:r>
    </w:p>
    <w:p w14:paraId="061BAC34" w14:textId="77777777" w:rsidR="00D35003" w:rsidRDefault="00000000">
      <w:pPr>
        <w:pStyle w:val="Cmsor1"/>
      </w:pPr>
      <w:bookmarkStart w:id="2" w:name="szakmai-tapasztalat"/>
      <w:bookmarkEnd w:id="0"/>
      <w:bookmarkEnd w:id="1"/>
      <w:r>
        <w:t>Szakmai tapasztalat</w:t>
      </w:r>
    </w:p>
    <w:p w14:paraId="6EA9F352" w14:textId="77777777" w:rsidR="00D35003" w:rsidRDefault="00000000">
      <w:pPr>
        <w:pStyle w:val="Cmsor2"/>
      </w:pPr>
      <w:bookmarkStart w:id="3" w:name="szakmai-összefoglaló"/>
      <w:r>
        <w:t>Szakmai összefoglaló</w:t>
      </w:r>
    </w:p>
    <w:p w14:paraId="08E885FB" w14:textId="58CE7CCC" w:rsidR="00D35003" w:rsidRDefault="00EC0C39" w:rsidP="00EC0C39">
      <w:pPr>
        <w:pStyle w:val="FirstParagraph"/>
        <w:jc w:val="both"/>
      </w:pPr>
      <w:r>
        <w:t xml:space="preserve">Angelika </w:t>
      </w:r>
      <w:r w:rsidR="00000000">
        <w:t>O’Sullivan német nyelvészetből szerzett doktori fokozatot, és több mint nyolc éve tanít német nyelvet, integrációs kurzusokat, valamint szakmai nyelvi képzéseket.</w:t>
      </w:r>
    </w:p>
    <w:p w14:paraId="5B68A4F4" w14:textId="049679AD" w:rsidR="00D35003" w:rsidRDefault="00000000" w:rsidP="00EC0C39">
      <w:pPr>
        <w:pStyle w:val="Szvegtrzs"/>
        <w:jc w:val="both"/>
      </w:pPr>
      <w:r>
        <w:t>Feladatai közé tartozik az új hallgatók szintfelmérése, az órák előkészítése, lebonyolítása és utókövetése, vizsgák lebonyolítása és javítása, a résztvevők jelenlétének dokumentálása, valamint írásbeli és szóbeli vizsgák értékelése. Büszke hallgatói magas sikerességi arányára (80% felett), valamint az oktatói munkájáról kapott kiváló visszajelzésekre. O’Sullivan tovább mélyítette érdeklődését a felnőttképzés pedagógiája iránt, emellett magas szintű angol nyelvi tanulmányokat folytatott annak érdekében, hogy jobban megértse a tanulók tanulási nehézségeit.</w:t>
      </w:r>
    </w:p>
    <w:p w14:paraId="588D1C60" w14:textId="77777777" w:rsidR="00D35003" w:rsidRDefault="00000000" w:rsidP="00EC0C39">
      <w:pPr>
        <w:pStyle w:val="Szvegtrzs"/>
        <w:jc w:val="both"/>
      </w:pPr>
      <w:r>
        <w:t>Akadémiai képzettsége mellett több mint 17 éves szakmai tapasztalattal rendelkezik szabadúszó fordítóként és tolmácsként különböző németországi és magyarországi tudományos intézmények számára. Több régészeti kiadvány német és orosz nyelvű szerkesztésével bízták meg.</w:t>
      </w:r>
    </w:p>
    <w:p w14:paraId="388672C1" w14:textId="77777777" w:rsidR="00D35003" w:rsidRDefault="00000000">
      <w:pPr>
        <w:pStyle w:val="Cmsor3"/>
      </w:pPr>
      <w:bookmarkStart w:id="4" w:name="jelenleg"/>
      <w:r>
        <w:t>2017.10 – jelenleg</w:t>
      </w:r>
    </w:p>
    <w:p w14:paraId="18ED34D3" w14:textId="4BD13631" w:rsidR="00D35003" w:rsidRDefault="00000000">
      <w:pPr>
        <w:pStyle w:val="FirstParagraph"/>
      </w:pPr>
      <w:r>
        <w:rPr>
          <w:b/>
          <w:bCs/>
        </w:rPr>
        <w:t xml:space="preserve">Pedagógiai asszisztens </w:t>
      </w:r>
      <w:r>
        <w:br/>
        <w:t>Integrációs és szaknyelvi kurzusok oktatása (az alfabetizációs szinttől C1 szintig)</w:t>
      </w:r>
      <w:r>
        <w:br/>
        <w:t>Résztvevői tanácsadás, szintfelmérők lebonyolítása, belső adatbázis kezelése</w:t>
      </w:r>
      <w:r>
        <w:br/>
        <w:t>Sprache und Bildung GmbH, Wetzlar, Németország</w:t>
      </w:r>
    </w:p>
    <w:p w14:paraId="5F104CE8" w14:textId="77777777" w:rsidR="00D35003" w:rsidRDefault="00000000">
      <w:pPr>
        <w:pStyle w:val="Cmsor3"/>
      </w:pPr>
      <w:bookmarkStart w:id="5" w:name="section"/>
      <w:bookmarkEnd w:id="4"/>
      <w:r>
        <w:t>2016.12 – 2017.10</w:t>
      </w:r>
    </w:p>
    <w:p w14:paraId="0F633A59" w14:textId="3029B9FF" w:rsidR="00D35003" w:rsidRDefault="00000000">
      <w:pPr>
        <w:pStyle w:val="FirstParagraph"/>
      </w:pPr>
      <w:r>
        <w:rPr>
          <w:b/>
          <w:bCs/>
        </w:rPr>
        <w:t xml:space="preserve">Némettanár (DaF) integrációs kurzusokon (A1–B1) </w:t>
      </w:r>
      <w:r>
        <w:br/>
        <w:t>Internationaler Bund (IB) Südwest gGmbH, Wetzlar, Németország</w:t>
      </w:r>
    </w:p>
    <w:p w14:paraId="6CC2288B" w14:textId="77777777" w:rsidR="00D35003" w:rsidRDefault="00000000">
      <w:pPr>
        <w:pStyle w:val="Cmsor3"/>
      </w:pPr>
      <w:bookmarkStart w:id="6" w:name="section-1"/>
      <w:bookmarkEnd w:id="5"/>
      <w:r>
        <w:lastRenderedPageBreak/>
        <w:t>2016.03 – 2016.12</w:t>
      </w:r>
    </w:p>
    <w:p w14:paraId="6F9A4FE2" w14:textId="77777777" w:rsidR="00D35003" w:rsidRDefault="00000000">
      <w:pPr>
        <w:pStyle w:val="FirstParagraph"/>
      </w:pPr>
      <w:r>
        <w:rPr>
          <w:b/>
          <w:bCs/>
        </w:rPr>
        <w:t>Kereskedelmi asszisztens</w:t>
      </w:r>
      <w:r>
        <w:br/>
        <w:t>Ügyfélszolgálat / szállítmányozás</w:t>
      </w:r>
      <w:r>
        <w:br/>
        <w:t>Ügyfélszolgálat, angol nyelvű levelezés, panaszkezelés, riportkészítés, fuvarfoglalás különböző külső szállítmányozási rendszerekben</w:t>
      </w:r>
      <w:r>
        <w:br/>
        <w:t>UPS SCS GmbH &amp; Co. OHG, Butzbach, Németország</w:t>
      </w:r>
    </w:p>
    <w:p w14:paraId="0DF786D1" w14:textId="77777777" w:rsidR="00D35003" w:rsidRDefault="00000000">
      <w:pPr>
        <w:pStyle w:val="Cmsor3"/>
      </w:pPr>
      <w:bookmarkStart w:id="7" w:name="section-2"/>
      <w:bookmarkEnd w:id="6"/>
      <w:r>
        <w:t>2015.12 – 2016.02</w:t>
      </w:r>
    </w:p>
    <w:p w14:paraId="6BFBC130" w14:textId="7F65559F" w:rsidR="00D35003" w:rsidRDefault="00000000">
      <w:pPr>
        <w:pStyle w:val="FirstParagraph"/>
      </w:pPr>
      <w:r>
        <w:rPr>
          <w:b/>
          <w:bCs/>
        </w:rPr>
        <w:t xml:space="preserve">Némettanár A1 szintű menekültkurzuson </w:t>
      </w:r>
      <w:r>
        <w:br/>
        <w:t>A Szövetségi Munkaügyi Hivatal bevezető kurzusa</w:t>
      </w:r>
      <w:r>
        <w:br/>
        <w:t>Internationaler Bund (IB) Südwest gGmbH, Wetzlar, Németország</w:t>
      </w:r>
    </w:p>
    <w:p w14:paraId="342F304B" w14:textId="77777777" w:rsidR="00D35003" w:rsidRDefault="00000000">
      <w:pPr>
        <w:pStyle w:val="Cmsor3"/>
      </w:pPr>
      <w:bookmarkStart w:id="8" w:name="section-3"/>
      <w:bookmarkEnd w:id="7"/>
      <w:r>
        <w:t>2006.02 – 2016.03</w:t>
      </w:r>
    </w:p>
    <w:p w14:paraId="115C8FC8" w14:textId="6D92B4A9" w:rsidR="00D35003" w:rsidRDefault="00000000">
      <w:pPr>
        <w:pStyle w:val="FirstParagraph"/>
      </w:pPr>
      <w:r>
        <w:rPr>
          <w:b/>
          <w:bCs/>
        </w:rPr>
        <w:t xml:space="preserve">Adminisztráció / logisztika </w:t>
      </w:r>
      <w:r>
        <w:br/>
        <w:t>Ügyfélszolgálat, angol és német nyelvű levelezés, belső projektkoordináció képviselete, munkatársak képzése</w:t>
      </w:r>
      <w:r>
        <w:br/>
        <w:t>Kitüntetés: „A hónap dolgozója” (2013. augusztus)</w:t>
      </w:r>
      <w:r>
        <w:br/>
        <w:t>United Parcel Service Deutschland Inc. &amp; Co. OHG, Gießen, Németország</w:t>
      </w:r>
    </w:p>
    <w:p w14:paraId="270499AA" w14:textId="77777777" w:rsidR="00D35003" w:rsidRDefault="00000000">
      <w:r>
        <w:pict w14:anchorId="28446D26">
          <v:rect id="_x0000_i1074" style="width:0;height:1.5pt" o:hralign="center" o:hrstd="t" o:hr="t"/>
        </w:pict>
      </w:r>
    </w:p>
    <w:p w14:paraId="7687D676" w14:textId="77777777" w:rsidR="00D35003" w:rsidRDefault="00000000">
      <w:pPr>
        <w:pStyle w:val="Cmsor1"/>
      </w:pPr>
      <w:bookmarkStart w:id="9" w:name="tanulmányok-és-képzés"/>
      <w:bookmarkEnd w:id="2"/>
      <w:bookmarkEnd w:id="3"/>
      <w:bookmarkEnd w:id="8"/>
      <w:r>
        <w:t>Tanulmányok és képzés</w:t>
      </w:r>
    </w:p>
    <w:p w14:paraId="543B668D" w14:textId="77777777" w:rsidR="00D35003" w:rsidRDefault="00000000">
      <w:pPr>
        <w:pStyle w:val="Cmsor3"/>
      </w:pPr>
      <w:bookmarkStart w:id="10" w:name="section-4"/>
      <w:r>
        <w:t>2006.02 – 2022.12</w:t>
      </w:r>
    </w:p>
    <w:p w14:paraId="05DA0877" w14:textId="77777777" w:rsidR="00D35003" w:rsidRDefault="00000000">
      <w:pPr>
        <w:pStyle w:val="FirstParagraph"/>
      </w:pPr>
      <w:r>
        <w:rPr>
          <w:b/>
          <w:bCs/>
        </w:rPr>
        <w:t>Szakfordító és szerkesztő régészeti szövegekhez (orosz–német, magyar–német) (szabadúszó)</w:t>
      </w:r>
      <w:r>
        <w:br/>
        <w:t>Römisch-Germanisches Zentralmuseum, Mainz, Németország</w:t>
      </w:r>
      <w:r>
        <w:br/>
        <w:t>Magyar Tudományos Akadémia Régészeti Intézete, Budapest, Magyarország</w:t>
      </w:r>
    </w:p>
    <w:p w14:paraId="18837D86" w14:textId="77777777" w:rsidR="00D35003" w:rsidRDefault="00000000">
      <w:pPr>
        <w:pStyle w:val="Cmsor3"/>
      </w:pPr>
      <w:bookmarkStart w:id="11" w:name="jelenleg-1"/>
      <w:bookmarkEnd w:id="10"/>
      <w:r>
        <w:t>2006.05 – jelenleg</w:t>
      </w:r>
    </w:p>
    <w:p w14:paraId="07732B51" w14:textId="77777777" w:rsidR="00D35003" w:rsidRDefault="00000000">
      <w:pPr>
        <w:pStyle w:val="FirstParagraph"/>
      </w:pPr>
      <w:r>
        <w:rPr>
          <w:b/>
          <w:bCs/>
        </w:rPr>
        <w:t>Konszekutív tolmácsolás, fordítás</w:t>
      </w:r>
      <w:r>
        <w:br/>
        <w:t>Sprachendienst Gehring, Wetzlar, Németország</w:t>
      </w:r>
      <w:r>
        <w:br/>
        <w:t>Ars Lingua, Gießen, Németország</w:t>
      </w:r>
      <w:r>
        <w:br/>
        <w:t>Übersetzungsbüro Ortac, Gießen, Németország</w:t>
      </w:r>
    </w:p>
    <w:p w14:paraId="6851674A" w14:textId="77777777" w:rsidR="00D35003" w:rsidRDefault="00000000">
      <w:pPr>
        <w:pStyle w:val="Cmsor3"/>
      </w:pPr>
      <w:bookmarkStart w:id="12" w:name="section-5"/>
      <w:bookmarkEnd w:id="11"/>
      <w:r>
        <w:t>2011.07 – 2013.06</w:t>
      </w:r>
    </w:p>
    <w:p w14:paraId="15F469D0" w14:textId="77777777" w:rsidR="00D35003" w:rsidRDefault="00000000">
      <w:pPr>
        <w:pStyle w:val="FirstParagraph"/>
      </w:pPr>
      <w:r>
        <w:rPr>
          <w:b/>
          <w:bCs/>
        </w:rPr>
        <w:t>Doktori disszertáció (magna cum laude)</w:t>
      </w:r>
      <w:r>
        <w:br/>
        <w:t>Doktori értekezés:</w:t>
      </w:r>
      <w:r>
        <w:br/>
        <w:t>„Waffenbezeichnungen in althochdeutschen Glossen: Sprach- und kulturhistorische Analysen und Wörterbuch”</w:t>
      </w:r>
      <w:r>
        <w:br/>
      </w:r>
      <w:r>
        <w:lastRenderedPageBreak/>
        <w:t>(Fegyvermegnevezések az ófelnémet glosszákban: nyelvi és kultúrtörténeti elemzések és szótár)</w:t>
      </w:r>
    </w:p>
    <w:p w14:paraId="5C8C0190" w14:textId="77777777" w:rsidR="00D35003" w:rsidRDefault="00000000">
      <w:pPr>
        <w:pStyle w:val="Szvegtrzs"/>
      </w:pPr>
      <w:r>
        <w:t>Modern Nyelvek Kara / Ruprecht Karls Egyetem, Heidelberg, Németország</w:t>
      </w:r>
    </w:p>
    <w:p w14:paraId="0224E994" w14:textId="77777777" w:rsidR="00D35003" w:rsidRDefault="00000000">
      <w:pPr>
        <w:pStyle w:val="Cmsor3"/>
      </w:pPr>
      <w:bookmarkStart w:id="13" w:name="section-6"/>
      <w:bookmarkEnd w:id="12"/>
      <w:r>
        <w:t>1996.04 – 2004.08</w:t>
      </w:r>
    </w:p>
    <w:p w14:paraId="5D217455" w14:textId="77777777" w:rsidR="00D35003" w:rsidRDefault="00000000">
      <w:pPr>
        <w:pStyle w:val="FirstParagraph"/>
      </w:pPr>
      <w:r>
        <w:rPr>
          <w:b/>
          <w:bCs/>
        </w:rPr>
        <w:t>MA diploma germanisztikából, kelet-európai történelemből és őstörténeti-régészetből („kitüntetéssel”)</w:t>
      </w:r>
    </w:p>
    <w:p w14:paraId="6778C91B" w14:textId="77777777" w:rsidR="00D35003" w:rsidRDefault="00000000">
      <w:pPr>
        <w:pStyle w:val="Szvegtrzs"/>
      </w:pPr>
      <w:r>
        <w:t>Szakdolgozat:</w:t>
      </w:r>
      <w:r>
        <w:br/>
        <w:t>„Bezeichnungen für Handelsgüter im Althochdeutschen (am Beispiel der Bewaffnung)”</w:t>
      </w:r>
      <w:r>
        <w:br/>
        <w:t>(Kereskedelmi áruk megnevezései az ófelnémetben – a fegyverzet példáján)</w:t>
      </w:r>
    </w:p>
    <w:p w14:paraId="1FC7F4B1" w14:textId="77777777" w:rsidR="00D35003" w:rsidRDefault="00000000">
      <w:pPr>
        <w:pStyle w:val="Szvegtrzs"/>
      </w:pPr>
      <w:r>
        <w:t>Justus Liebig Egyetem, Gießen, Németország</w:t>
      </w:r>
      <w:r>
        <w:br/>
        <w:t>Philipps Egyetem, Marburg, Németország</w:t>
      </w:r>
    </w:p>
    <w:p w14:paraId="5502E2A5" w14:textId="77777777" w:rsidR="00D35003" w:rsidRDefault="00000000">
      <w:pPr>
        <w:pStyle w:val="Cmsor3"/>
      </w:pPr>
      <w:bookmarkStart w:id="14" w:name="section-7"/>
      <w:bookmarkEnd w:id="13"/>
      <w:r>
        <w:t>1988.09 – 1992.06</w:t>
      </w:r>
    </w:p>
    <w:p w14:paraId="6ABDC48E" w14:textId="77777777" w:rsidR="00D35003" w:rsidRDefault="00000000">
      <w:pPr>
        <w:pStyle w:val="FirstParagraph"/>
      </w:pPr>
      <w:r>
        <w:rPr>
          <w:b/>
          <w:bCs/>
        </w:rPr>
        <w:t>Érettségi (Abitur eredmény: 2,0)</w:t>
      </w:r>
      <w:r>
        <w:br/>
        <w:t>Földes Ferenc Gimnázium, Miskolc, Magyarország</w:t>
      </w:r>
    </w:p>
    <w:p w14:paraId="0D2A7C04" w14:textId="77777777" w:rsidR="00D35003" w:rsidRDefault="00000000">
      <w:r>
        <w:pict w14:anchorId="641C1CB3">
          <v:rect id="_x0000_i1075" style="width:0;height:1.5pt" o:hralign="center" o:hrstd="t" o:hr="t"/>
        </w:pict>
      </w:r>
    </w:p>
    <w:p w14:paraId="31E465AB" w14:textId="77777777" w:rsidR="00D35003" w:rsidRDefault="00000000">
      <w:pPr>
        <w:pStyle w:val="Cmsor1"/>
      </w:pPr>
      <w:bookmarkStart w:id="15" w:name="nyelvismeret"/>
      <w:bookmarkEnd w:id="9"/>
      <w:bookmarkEnd w:id="14"/>
      <w:r>
        <w:t>Nyelvismeret</w:t>
      </w:r>
    </w:p>
    <w:p w14:paraId="221D1E26" w14:textId="77777777" w:rsidR="00D35003" w:rsidRDefault="00000000">
      <w:pPr>
        <w:pStyle w:val="FirstParagraph"/>
      </w:pPr>
      <w:r>
        <w:t>Anyanyelv: magyar</w:t>
      </w:r>
    </w:p>
    <w:tbl>
      <w:tblPr>
        <w:tblStyle w:val="Table"/>
        <w:tblW w:w="5000" w:type="pct"/>
        <w:tblLayout w:type="fixed"/>
        <w:tblLook w:val="0020" w:firstRow="1" w:lastRow="0" w:firstColumn="0" w:lastColumn="0" w:noHBand="0" w:noVBand="0"/>
      </w:tblPr>
      <w:tblGrid>
        <w:gridCol w:w="1603"/>
        <w:gridCol w:w="1603"/>
        <w:gridCol w:w="1604"/>
        <w:gridCol w:w="1604"/>
        <w:gridCol w:w="1604"/>
        <w:gridCol w:w="1604"/>
      </w:tblGrid>
      <w:tr w:rsidR="00D35003" w14:paraId="641E1BBC" w14:textId="77777777" w:rsidTr="00D35003">
        <w:trPr>
          <w:cnfStyle w:val="100000000000" w:firstRow="1" w:lastRow="0" w:firstColumn="0" w:lastColumn="0" w:oddVBand="0" w:evenVBand="0" w:oddHBand="0" w:evenHBand="0" w:firstRowFirstColumn="0" w:firstRowLastColumn="0" w:lastRowFirstColumn="0" w:lastRowLastColumn="0"/>
          <w:tblHeader/>
        </w:trPr>
        <w:tc>
          <w:tcPr>
            <w:tcW w:w="1320" w:type="dxa"/>
          </w:tcPr>
          <w:p w14:paraId="521A6727" w14:textId="77777777" w:rsidR="00D35003" w:rsidRDefault="00000000">
            <w:pPr>
              <w:pStyle w:val="Compact"/>
            </w:pPr>
            <w:r>
              <w:t>Nyelv</w:t>
            </w:r>
          </w:p>
        </w:tc>
        <w:tc>
          <w:tcPr>
            <w:tcW w:w="1320" w:type="dxa"/>
          </w:tcPr>
          <w:p w14:paraId="59F42AB8" w14:textId="77777777" w:rsidR="00D35003" w:rsidRDefault="00000000">
            <w:pPr>
              <w:pStyle w:val="Compact"/>
            </w:pPr>
            <w:r>
              <w:t>Hallás utáni értés</w:t>
            </w:r>
          </w:p>
        </w:tc>
        <w:tc>
          <w:tcPr>
            <w:tcW w:w="1320" w:type="dxa"/>
          </w:tcPr>
          <w:p w14:paraId="0717AFBC" w14:textId="77777777" w:rsidR="00D35003" w:rsidRDefault="00000000">
            <w:pPr>
              <w:pStyle w:val="Compact"/>
            </w:pPr>
            <w:r>
              <w:t>Olvasás</w:t>
            </w:r>
          </w:p>
        </w:tc>
        <w:tc>
          <w:tcPr>
            <w:tcW w:w="1320" w:type="dxa"/>
          </w:tcPr>
          <w:p w14:paraId="32BD7F70" w14:textId="77777777" w:rsidR="00D35003" w:rsidRDefault="00000000">
            <w:pPr>
              <w:pStyle w:val="Compact"/>
            </w:pPr>
            <w:r>
              <w:t>Társalgás</w:t>
            </w:r>
          </w:p>
        </w:tc>
        <w:tc>
          <w:tcPr>
            <w:tcW w:w="1320" w:type="dxa"/>
          </w:tcPr>
          <w:p w14:paraId="2ACEB1BF" w14:textId="77777777" w:rsidR="00D35003" w:rsidRDefault="00000000">
            <w:pPr>
              <w:pStyle w:val="Compact"/>
            </w:pPr>
            <w:r>
              <w:t>Folyamatos beszéd</w:t>
            </w:r>
          </w:p>
        </w:tc>
        <w:tc>
          <w:tcPr>
            <w:tcW w:w="1320" w:type="dxa"/>
          </w:tcPr>
          <w:p w14:paraId="5685BFDB" w14:textId="77777777" w:rsidR="00D35003" w:rsidRDefault="00000000">
            <w:pPr>
              <w:pStyle w:val="Compact"/>
            </w:pPr>
            <w:r>
              <w:t>Írás</w:t>
            </w:r>
          </w:p>
        </w:tc>
      </w:tr>
      <w:tr w:rsidR="00D35003" w14:paraId="175FE975" w14:textId="77777777">
        <w:tc>
          <w:tcPr>
            <w:tcW w:w="1320" w:type="dxa"/>
          </w:tcPr>
          <w:p w14:paraId="721AD9B4" w14:textId="77777777" w:rsidR="00D35003" w:rsidRDefault="00000000">
            <w:pPr>
              <w:pStyle w:val="Compact"/>
            </w:pPr>
            <w:r>
              <w:t>Német</w:t>
            </w:r>
          </w:p>
        </w:tc>
        <w:tc>
          <w:tcPr>
            <w:tcW w:w="1320" w:type="dxa"/>
          </w:tcPr>
          <w:p w14:paraId="0B1EC980" w14:textId="77777777" w:rsidR="00D35003" w:rsidRDefault="00000000">
            <w:pPr>
              <w:pStyle w:val="Compact"/>
            </w:pPr>
            <w:r>
              <w:t>C2</w:t>
            </w:r>
          </w:p>
        </w:tc>
        <w:tc>
          <w:tcPr>
            <w:tcW w:w="1320" w:type="dxa"/>
          </w:tcPr>
          <w:p w14:paraId="3724F7C3" w14:textId="77777777" w:rsidR="00D35003" w:rsidRDefault="00000000">
            <w:pPr>
              <w:pStyle w:val="Compact"/>
            </w:pPr>
            <w:r>
              <w:t>C2</w:t>
            </w:r>
          </w:p>
        </w:tc>
        <w:tc>
          <w:tcPr>
            <w:tcW w:w="1320" w:type="dxa"/>
          </w:tcPr>
          <w:p w14:paraId="2041B987" w14:textId="77777777" w:rsidR="00D35003" w:rsidRDefault="00000000">
            <w:pPr>
              <w:pStyle w:val="Compact"/>
            </w:pPr>
            <w:r>
              <w:t>C2</w:t>
            </w:r>
          </w:p>
        </w:tc>
        <w:tc>
          <w:tcPr>
            <w:tcW w:w="1320" w:type="dxa"/>
          </w:tcPr>
          <w:p w14:paraId="147720AD" w14:textId="77777777" w:rsidR="00D35003" w:rsidRDefault="00000000">
            <w:pPr>
              <w:pStyle w:val="Compact"/>
            </w:pPr>
            <w:r>
              <w:t>C2</w:t>
            </w:r>
          </w:p>
        </w:tc>
        <w:tc>
          <w:tcPr>
            <w:tcW w:w="1320" w:type="dxa"/>
          </w:tcPr>
          <w:p w14:paraId="392D3BE7" w14:textId="77777777" w:rsidR="00D35003" w:rsidRDefault="00000000">
            <w:pPr>
              <w:pStyle w:val="Compact"/>
            </w:pPr>
            <w:r>
              <w:t>C2</w:t>
            </w:r>
          </w:p>
        </w:tc>
      </w:tr>
      <w:tr w:rsidR="00D35003" w14:paraId="4C7EB471" w14:textId="77777777">
        <w:tc>
          <w:tcPr>
            <w:tcW w:w="1320" w:type="dxa"/>
          </w:tcPr>
          <w:p w14:paraId="558BED7E" w14:textId="77777777" w:rsidR="00D35003" w:rsidRDefault="00000000">
            <w:pPr>
              <w:pStyle w:val="Compact"/>
            </w:pPr>
            <w:r>
              <w:t>Angol</w:t>
            </w:r>
          </w:p>
        </w:tc>
        <w:tc>
          <w:tcPr>
            <w:tcW w:w="1320" w:type="dxa"/>
          </w:tcPr>
          <w:p w14:paraId="7422D941" w14:textId="77777777" w:rsidR="00D35003" w:rsidRDefault="00000000">
            <w:pPr>
              <w:pStyle w:val="Compact"/>
            </w:pPr>
            <w:r>
              <w:t>C1</w:t>
            </w:r>
          </w:p>
        </w:tc>
        <w:tc>
          <w:tcPr>
            <w:tcW w:w="1320" w:type="dxa"/>
          </w:tcPr>
          <w:p w14:paraId="77F594B0" w14:textId="77777777" w:rsidR="00D35003" w:rsidRDefault="00000000">
            <w:pPr>
              <w:pStyle w:val="Compact"/>
            </w:pPr>
            <w:r>
              <w:t>C1</w:t>
            </w:r>
          </w:p>
        </w:tc>
        <w:tc>
          <w:tcPr>
            <w:tcW w:w="1320" w:type="dxa"/>
          </w:tcPr>
          <w:p w14:paraId="23560A5E" w14:textId="77777777" w:rsidR="00D35003" w:rsidRDefault="00000000">
            <w:pPr>
              <w:pStyle w:val="Compact"/>
            </w:pPr>
            <w:r>
              <w:t>B2–C1</w:t>
            </w:r>
          </w:p>
        </w:tc>
        <w:tc>
          <w:tcPr>
            <w:tcW w:w="1320" w:type="dxa"/>
          </w:tcPr>
          <w:p w14:paraId="36D87750" w14:textId="77777777" w:rsidR="00D35003" w:rsidRDefault="00000000">
            <w:pPr>
              <w:pStyle w:val="Compact"/>
            </w:pPr>
            <w:r>
              <w:t>B2–C1</w:t>
            </w:r>
          </w:p>
        </w:tc>
        <w:tc>
          <w:tcPr>
            <w:tcW w:w="1320" w:type="dxa"/>
          </w:tcPr>
          <w:p w14:paraId="296616A0" w14:textId="77777777" w:rsidR="00D35003" w:rsidRDefault="00000000">
            <w:pPr>
              <w:pStyle w:val="Compact"/>
            </w:pPr>
            <w:r>
              <w:t>B2–C1</w:t>
            </w:r>
          </w:p>
        </w:tc>
      </w:tr>
      <w:tr w:rsidR="00D35003" w14:paraId="35C8E5DB" w14:textId="77777777">
        <w:tc>
          <w:tcPr>
            <w:tcW w:w="1320" w:type="dxa"/>
          </w:tcPr>
          <w:p w14:paraId="33DD355C" w14:textId="77777777" w:rsidR="00D35003" w:rsidRDefault="00000000">
            <w:pPr>
              <w:pStyle w:val="Compact"/>
            </w:pPr>
            <w:r>
              <w:t>Orosz</w:t>
            </w:r>
          </w:p>
        </w:tc>
        <w:tc>
          <w:tcPr>
            <w:tcW w:w="1320" w:type="dxa"/>
          </w:tcPr>
          <w:p w14:paraId="4854C9E3" w14:textId="77777777" w:rsidR="00D35003" w:rsidRDefault="00000000">
            <w:pPr>
              <w:pStyle w:val="Compact"/>
            </w:pPr>
            <w:r>
              <w:t>A2</w:t>
            </w:r>
          </w:p>
        </w:tc>
        <w:tc>
          <w:tcPr>
            <w:tcW w:w="1320" w:type="dxa"/>
          </w:tcPr>
          <w:p w14:paraId="77D1DD88" w14:textId="77777777" w:rsidR="00D35003" w:rsidRDefault="00000000">
            <w:pPr>
              <w:pStyle w:val="Compact"/>
            </w:pPr>
            <w:r>
              <w:t>A2</w:t>
            </w:r>
          </w:p>
        </w:tc>
        <w:tc>
          <w:tcPr>
            <w:tcW w:w="1320" w:type="dxa"/>
          </w:tcPr>
          <w:p w14:paraId="492CA2F7" w14:textId="77777777" w:rsidR="00D35003" w:rsidRDefault="00000000">
            <w:pPr>
              <w:pStyle w:val="Compact"/>
            </w:pPr>
            <w:r>
              <w:t>A2</w:t>
            </w:r>
          </w:p>
        </w:tc>
        <w:tc>
          <w:tcPr>
            <w:tcW w:w="1320" w:type="dxa"/>
          </w:tcPr>
          <w:p w14:paraId="5074C19C" w14:textId="77777777" w:rsidR="00D35003" w:rsidRDefault="00000000">
            <w:pPr>
              <w:pStyle w:val="Compact"/>
            </w:pPr>
            <w:r>
              <w:t>A2</w:t>
            </w:r>
          </w:p>
        </w:tc>
        <w:tc>
          <w:tcPr>
            <w:tcW w:w="1320" w:type="dxa"/>
          </w:tcPr>
          <w:p w14:paraId="2A345C62" w14:textId="77777777" w:rsidR="00D35003" w:rsidRDefault="00000000">
            <w:pPr>
              <w:pStyle w:val="Compact"/>
            </w:pPr>
            <w:r>
              <w:t>A2</w:t>
            </w:r>
          </w:p>
        </w:tc>
      </w:tr>
    </w:tbl>
    <w:p w14:paraId="7726DC9F" w14:textId="77777777" w:rsidR="00D35003" w:rsidRDefault="00000000">
      <w:pPr>
        <w:pStyle w:val="Szvegtrzs"/>
      </w:pPr>
      <w:r>
        <w:t>Latin nyelvvizsga</w:t>
      </w:r>
    </w:p>
    <w:p w14:paraId="28EAA657" w14:textId="77777777" w:rsidR="00D35003" w:rsidRDefault="00000000">
      <w:r>
        <w:pict w14:anchorId="2585ED53">
          <v:rect id="_x0000_i1076" style="width:0;height:1.5pt" o:hralign="center" o:hrstd="t" o:hr="t"/>
        </w:pict>
      </w:r>
    </w:p>
    <w:p w14:paraId="52C42DE9" w14:textId="77777777" w:rsidR="00D35003" w:rsidRDefault="00000000">
      <w:pPr>
        <w:pStyle w:val="Cmsor1"/>
      </w:pPr>
      <w:bookmarkStart w:id="16" w:name="publikációk"/>
      <w:bookmarkEnd w:id="15"/>
      <w:r>
        <w:t>Publikációk</w:t>
      </w:r>
    </w:p>
    <w:p w14:paraId="4B222A39" w14:textId="77777777" w:rsidR="00D35003" w:rsidRDefault="00000000">
      <w:pPr>
        <w:pStyle w:val="FirstParagraph"/>
      </w:pPr>
      <w:r>
        <w:t xml:space="preserve">Angelika O’Sullivan, </w:t>
      </w:r>
      <w:r>
        <w:rPr>
          <w:i/>
          <w:iCs/>
        </w:rPr>
        <w:t>Waffenbezeichnungen in althochdeutschen Glossen: Sprach- und kulturhistorische Analysen und Wörterbuch</w:t>
      </w:r>
      <w:r>
        <w:t>. Lingua Historica Germanica 5. Berlin 2013.</w:t>
      </w:r>
    </w:p>
    <w:p w14:paraId="78BA99BB" w14:textId="77777777" w:rsidR="00D35003" w:rsidRDefault="00000000">
      <w:pPr>
        <w:pStyle w:val="Szvegtrzs"/>
      </w:pPr>
      <w:r>
        <w:t xml:space="preserve">Angelika O’Sullivan, </w:t>
      </w:r>
      <w:r>
        <w:rPr>
          <w:i/>
          <w:iCs/>
        </w:rPr>
        <w:t>Althochdeutsche Gerätebezeichnungen</w:t>
      </w:r>
      <w:r>
        <w:t xml:space="preserve">, in: </w:t>
      </w:r>
      <w:r>
        <w:rPr>
          <w:i/>
          <w:iCs/>
        </w:rPr>
        <w:t>Jahrbuch für Germanistische Sprachgeschichte</w:t>
      </w:r>
      <w:r>
        <w:t>. Historical Semantics. Szerk.: Hans Ulrich Schmid / Arne Ziegler. 2. kötet. Berlin / Boston 2011. 239–252.</w:t>
      </w:r>
    </w:p>
    <w:p w14:paraId="29A890A6" w14:textId="77777777" w:rsidR="00D35003" w:rsidRDefault="00000000">
      <w:pPr>
        <w:pStyle w:val="Szvegtrzs"/>
      </w:pPr>
      <w:r>
        <w:rPr>
          <w:i/>
          <w:iCs/>
        </w:rPr>
        <w:lastRenderedPageBreak/>
        <w:t>Letzte Tage: die Łódzer Getto-Chronik Juni/Juli 1944.</w:t>
      </w:r>
      <w:r>
        <w:t xml:space="preserve"> Szerk.: Sascha Feuchert, Erwin Leibfried, Jörg Riecke, Julian Baranowski és Krystyna Radziszewska. Wallstein, Göttingen 2004.</w:t>
      </w:r>
    </w:p>
    <w:p w14:paraId="42C1F191" w14:textId="77777777" w:rsidR="00D35003" w:rsidRDefault="00000000">
      <w:r>
        <w:pict w14:anchorId="59C0A554">
          <v:rect id="_x0000_i1078" style="width:0;height:1.5pt" o:hralign="center" o:hrstd="t" o:hr="t"/>
        </w:pict>
      </w:r>
    </w:p>
    <w:p w14:paraId="255D2989" w14:textId="77777777" w:rsidR="00D35003" w:rsidRDefault="00000000">
      <w:pPr>
        <w:pStyle w:val="Cmsor1"/>
      </w:pPr>
      <w:bookmarkStart w:id="17" w:name="tudományos-együttműködések"/>
      <w:bookmarkEnd w:id="16"/>
      <w:r>
        <w:t>Tudományos együttműködések</w:t>
      </w:r>
    </w:p>
    <w:p w14:paraId="020F28CB" w14:textId="77777777" w:rsidR="00D35003" w:rsidRDefault="00000000">
      <w:pPr>
        <w:pStyle w:val="Cmsor3"/>
      </w:pPr>
      <w:bookmarkStart w:id="18" w:name="Xec54f082bf5e34502f4ccf32cebe651f7d08c87"/>
      <w:r>
        <w:t>Tudományos segédmunkatárs (2003.02 – 2004.08)</w:t>
      </w:r>
    </w:p>
    <w:p w14:paraId="1A9C93D1" w14:textId="77777777" w:rsidR="00D35003" w:rsidRDefault="00000000">
      <w:pPr>
        <w:pStyle w:val="FirstParagraph"/>
      </w:pPr>
      <w:r>
        <w:t>DFG projekt / Łódźi gettókrónika</w:t>
      </w:r>
      <w:r>
        <w:br/>
        <w:t>Justus Liebig Egyetem, Gießen, Németország</w:t>
      </w:r>
    </w:p>
    <w:p w14:paraId="03DF88E1" w14:textId="77777777" w:rsidR="00D35003" w:rsidRDefault="00000000">
      <w:r>
        <w:pict w14:anchorId="4E936F4A">
          <v:rect id="_x0000_i1079" style="width:0;height:1.5pt" o:hralign="center" o:hrstd="t" o:hr="t"/>
        </w:pict>
      </w:r>
    </w:p>
    <w:p w14:paraId="3192E2F3" w14:textId="77777777" w:rsidR="00D35003" w:rsidRDefault="00000000">
      <w:pPr>
        <w:pStyle w:val="Cmsor1"/>
      </w:pPr>
      <w:bookmarkStart w:id="19" w:name="konferenciák"/>
      <w:bookmarkEnd w:id="17"/>
      <w:bookmarkEnd w:id="18"/>
      <w:r>
        <w:t>Konferenciák</w:t>
      </w:r>
    </w:p>
    <w:p w14:paraId="6B195B7E" w14:textId="77777777" w:rsidR="00D35003" w:rsidRDefault="00000000">
      <w:pPr>
        <w:pStyle w:val="FirstParagraph"/>
      </w:pPr>
      <w:r>
        <w:rPr>
          <w:b/>
          <w:bCs/>
        </w:rPr>
        <w:t>Workshop: „Old High German in the 21st Century”</w:t>
      </w:r>
      <w:r>
        <w:br/>
        <w:t>(„Werkstatt: Althochdeutsch im 21. Jahrhundert”, 2008. május 30–31.)</w:t>
      </w:r>
    </w:p>
    <w:p w14:paraId="46D7DB19" w14:textId="77777777" w:rsidR="00D35003" w:rsidRDefault="00000000">
      <w:pPr>
        <w:pStyle w:val="Szvegtrzs"/>
      </w:pPr>
      <w:r>
        <w:t>„Weapon and implement designations in Old High German”</w:t>
      </w:r>
      <w:r>
        <w:br/>
        <w:t>Német Nyelvészeti Tanszék, Zürichi Egyetem</w:t>
      </w:r>
      <w:r>
        <w:br/>
        <w:t>Zürich, Svájc</w:t>
      </w:r>
    </w:p>
    <w:p w14:paraId="61FD1E54" w14:textId="77777777" w:rsidR="00D35003" w:rsidRDefault="00000000">
      <w:r>
        <w:pict w14:anchorId="092159AE">
          <v:rect id="_x0000_i1080" style="width:0;height:1.5pt" o:hralign="center" o:hrstd="t" o:hr="t"/>
        </w:pict>
      </w:r>
    </w:p>
    <w:p w14:paraId="46816AF6" w14:textId="77777777" w:rsidR="00D35003" w:rsidRDefault="00000000">
      <w:pPr>
        <w:pStyle w:val="Cmsor1"/>
      </w:pPr>
      <w:bookmarkStart w:id="20" w:name="szerkesztőségi-gyakorlatok"/>
      <w:bookmarkEnd w:id="19"/>
      <w:r>
        <w:t>Szerkesztőségi gyakorlatok</w:t>
      </w:r>
    </w:p>
    <w:p w14:paraId="6DF12F2A" w14:textId="77777777" w:rsidR="00D35003" w:rsidRDefault="00000000">
      <w:pPr>
        <w:pStyle w:val="Cmsor3"/>
      </w:pPr>
      <w:bookmarkStart w:id="21" w:name="gyakornok-2004.02-2004.03"/>
      <w:r>
        <w:t>Gyakornok (2004.02 – 2004.03)</w:t>
      </w:r>
    </w:p>
    <w:p w14:paraId="58AB4941" w14:textId="77777777" w:rsidR="00D35003" w:rsidRDefault="00000000">
      <w:pPr>
        <w:pStyle w:val="FirstParagraph"/>
      </w:pPr>
      <w:r>
        <w:t>Fordítás oroszról, szerkesztés, katalógusok tördelése</w:t>
      </w:r>
      <w:r>
        <w:br/>
        <w:t>„Eurasia Antiqua” régészeti folyóirat</w:t>
      </w:r>
      <w:r>
        <w:br/>
        <w:t>Német Régészeti Intézet Eurázsia Osztálya, Berlin, Németország</w:t>
      </w:r>
    </w:p>
    <w:p w14:paraId="3E262B24" w14:textId="77777777" w:rsidR="00D35003" w:rsidRDefault="00000000">
      <w:pPr>
        <w:pStyle w:val="Cmsor3"/>
      </w:pPr>
      <w:bookmarkStart w:id="22" w:name="gyakornok-2003.04-2003.06"/>
      <w:bookmarkEnd w:id="21"/>
      <w:r>
        <w:t>Gyakornok (2003.04 – 2003.06)</w:t>
      </w:r>
    </w:p>
    <w:p w14:paraId="5951C677" w14:textId="77777777" w:rsidR="00D35003" w:rsidRDefault="00000000">
      <w:pPr>
        <w:pStyle w:val="FirstParagraph"/>
      </w:pPr>
      <w:r>
        <w:t>Fordítás, szövegtördelés Photoshop segítségével, kutatás könyvtári adatbázisokban</w:t>
      </w:r>
      <w:r>
        <w:br/>
        <w:t>„Germania” régészeti folyóirat</w:t>
      </w:r>
      <w:r>
        <w:br/>
        <w:t>A Régészeti Intézet Római–Germanikus Bizottsága, Frankfurt am Main, Németország</w:t>
      </w:r>
    </w:p>
    <w:p w14:paraId="31379A86" w14:textId="77777777" w:rsidR="00D35003" w:rsidRDefault="00000000">
      <w:r>
        <w:pict w14:anchorId="5F7A1BFC">
          <v:rect id="_x0000_i1081" style="width:0;height:1.5pt" o:hralign="center" o:hrstd="t" o:hr="t"/>
        </w:pict>
      </w:r>
    </w:p>
    <w:p w14:paraId="7BDE7396" w14:textId="77777777" w:rsidR="00D35003" w:rsidRDefault="00000000">
      <w:pPr>
        <w:pStyle w:val="Cmsor1"/>
      </w:pPr>
      <w:bookmarkStart w:id="23" w:name="X4fe27bc0be5fb1a6986b16d9c1927c431b9d937"/>
      <w:bookmarkEnd w:id="20"/>
      <w:bookmarkEnd w:id="22"/>
      <w:r>
        <w:lastRenderedPageBreak/>
        <w:t>Fordítási és szerkesztői munkák (válogatás)</w:t>
      </w:r>
    </w:p>
    <w:p w14:paraId="20054D89" w14:textId="77777777" w:rsidR="00D35003" w:rsidRDefault="00000000">
      <w:pPr>
        <w:pStyle w:val="Cmsor2"/>
      </w:pPr>
      <w:bookmarkStart w:id="24" w:name="X9ec50bb26c59ba61a85a6d8e94723d6813b835d"/>
      <w:r>
        <w:t>Römisch-Germanisches Zentralmuseum, Mainz, Németország</w:t>
      </w:r>
    </w:p>
    <w:p w14:paraId="067C46FB" w14:textId="77777777" w:rsidR="00D35003" w:rsidRDefault="00000000">
      <w:pPr>
        <w:pStyle w:val="Cmsor3"/>
      </w:pPr>
      <w:bookmarkStart w:id="25" w:name="section-8"/>
      <w:r>
        <w:t>2013</w:t>
      </w:r>
    </w:p>
    <w:p w14:paraId="68BBC63A" w14:textId="77777777" w:rsidR="00D35003" w:rsidRDefault="00000000">
      <w:pPr>
        <w:pStyle w:val="FirstParagraph"/>
      </w:pPr>
      <w:r>
        <w:t xml:space="preserve">Béla Miklós Szőke, </w:t>
      </w:r>
      <w:r>
        <w:rPr>
          <w:i/>
          <w:iCs/>
        </w:rPr>
        <w:t>Pannonien zur Karolingerzeit</w:t>
      </w:r>
      <w:r>
        <w:t>. Monographien des RGZM, 145. kötet, Heidelberg 2022.</w:t>
      </w:r>
    </w:p>
    <w:p w14:paraId="06B07E02" w14:textId="77777777" w:rsidR="00D35003" w:rsidRDefault="00000000">
      <w:pPr>
        <w:pStyle w:val="Cmsor3"/>
      </w:pPr>
      <w:bookmarkStart w:id="26" w:name="section-9"/>
      <w:bookmarkEnd w:id="25"/>
      <w:r>
        <w:t>2009</w:t>
      </w:r>
    </w:p>
    <w:p w14:paraId="3BDECB86" w14:textId="77777777" w:rsidR="00D35003" w:rsidRDefault="00000000">
      <w:pPr>
        <w:pStyle w:val="FirstParagraph"/>
      </w:pPr>
      <w:r>
        <w:t xml:space="preserve">Péter Langó, „Die Bestimmung der Landesgrenzen” – a 10. századi magyar fejedelemség nyugati határának kérdése régészeti leletek tükrében. </w:t>
      </w:r>
      <w:r>
        <w:rPr>
          <w:i/>
          <w:iCs/>
        </w:rPr>
        <w:t>Archäologisches Korrespondenzblatt</w:t>
      </w:r>
      <w:r>
        <w:t xml:space="preserve"> 40 (2010), 579–597.</w:t>
      </w:r>
    </w:p>
    <w:p w14:paraId="6D32A161" w14:textId="77777777" w:rsidR="00D35003" w:rsidRDefault="00000000">
      <w:pPr>
        <w:pStyle w:val="Cmsor3"/>
      </w:pPr>
      <w:bookmarkStart w:id="27" w:name="section-10"/>
      <w:bookmarkEnd w:id="26"/>
      <w:r>
        <w:t>2006</w:t>
      </w:r>
    </w:p>
    <w:p w14:paraId="4A65EDF0" w14:textId="77777777" w:rsidR="00D35003" w:rsidRDefault="00000000">
      <w:pPr>
        <w:pStyle w:val="FirstParagraph"/>
      </w:pPr>
      <w:r>
        <w:t xml:space="preserve">Aleksandr I. Ajbabin, </w:t>
      </w:r>
      <w:r>
        <w:rPr>
          <w:i/>
          <w:iCs/>
        </w:rPr>
        <w:t>Archäologie und Geschichte der Krim in byzantinischer Zeit</w:t>
      </w:r>
      <w:r>
        <w:t>. RGZM Monográfiák / LEIZA Monográfiák 98. Mainz 2012.</w:t>
      </w:r>
    </w:p>
    <w:p w14:paraId="4365F903" w14:textId="77777777" w:rsidR="00D35003" w:rsidRDefault="00000000">
      <w:pPr>
        <w:pStyle w:val="Cmsor2"/>
      </w:pPr>
      <w:bookmarkStart w:id="28" w:name="X39b8d543875c661ddf6c8d3857f9dc22e75f005"/>
      <w:bookmarkEnd w:id="24"/>
      <w:bookmarkEnd w:id="27"/>
      <w:r>
        <w:t>Magyar Tudományos Akadémia Régészeti Intézete, Budapest</w:t>
      </w:r>
    </w:p>
    <w:p w14:paraId="3A0EC65A" w14:textId="77777777" w:rsidR="00D35003" w:rsidRDefault="00000000">
      <w:pPr>
        <w:pStyle w:val="Cmsor3"/>
      </w:pPr>
      <w:bookmarkStart w:id="29" w:name="section-11"/>
      <w:r>
        <w:t>2010</w:t>
      </w:r>
    </w:p>
    <w:p w14:paraId="63DC3180" w14:textId="77777777" w:rsidR="00D35003" w:rsidRDefault="00000000">
      <w:pPr>
        <w:pStyle w:val="FirstParagraph"/>
      </w:pPr>
      <w:r>
        <w:t xml:space="preserve">Fábián Szilvia, A vonaldíszes kultúra zselizi periódusának települése Szécsény-Ültetésen. </w:t>
      </w:r>
      <w:r>
        <w:rPr>
          <w:i/>
          <w:iCs/>
        </w:rPr>
        <w:t>Antaeus</w:t>
      </w:r>
      <w:r>
        <w:t xml:space="preserve"> 31–32 (2010), 225–283.</w:t>
      </w:r>
    </w:p>
    <w:p w14:paraId="1163EE4B" w14:textId="77777777" w:rsidR="00D35003" w:rsidRDefault="00000000">
      <w:pPr>
        <w:pStyle w:val="Cmsor3"/>
      </w:pPr>
      <w:bookmarkStart w:id="30" w:name="section-12"/>
      <w:bookmarkEnd w:id="29"/>
      <w:r>
        <w:t>2008</w:t>
      </w:r>
    </w:p>
    <w:p w14:paraId="41B97136" w14:textId="77777777" w:rsidR="00D35003" w:rsidRDefault="00000000">
      <w:pPr>
        <w:pStyle w:val="FirstParagraph"/>
      </w:pPr>
      <w:r>
        <w:t xml:space="preserve">Béla Miklós Szőke, Az avar öv szerkezetének változásai. </w:t>
      </w:r>
      <w:r>
        <w:rPr>
          <w:i/>
          <w:iCs/>
        </w:rPr>
        <w:t>Antaeus</w:t>
      </w:r>
      <w:r>
        <w:t xml:space="preserve"> 29–30 (2008), 175–213.</w:t>
      </w:r>
    </w:p>
    <w:p w14:paraId="023906C7" w14:textId="77777777" w:rsidR="00D35003" w:rsidRDefault="00000000">
      <w:r>
        <w:pict w14:anchorId="448EE1A0">
          <v:rect id="_x0000_i1083" style="width:0;height:1.5pt" o:hralign="center" o:hrstd="t" o:hr="t"/>
        </w:pict>
      </w:r>
    </w:p>
    <w:p w14:paraId="60C5B1D2" w14:textId="77777777" w:rsidR="00D35003" w:rsidRDefault="00000000">
      <w:pPr>
        <w:pStyle w:val="Cmsor1"/>
      </w:pPr>
      <w:bookmarkStart w:id="31" w:name="tanfolyamok-és-képesítések"/>
      <w:bookmarkEnd w:id="23"/>
      <w:bookmarkEnd w:id="28"/>
      <w:bookmarkEnd w:id="30"/>
      <w:r>
        <w:t>Tanfolyamok és képesítések</w:t>
      </w:r>
    </w:p>
    <w:p w14:paraId="1B43A19B" w14:textId="77777777" w:rsidR="00D35003" w:rsidRDefault="00000000">
      <w:pPr>
        <w:pStyle w:val="Cmsor3"/>
      </w:pPr>
      <w:bookmarkStart w:id="32" w:name="képzések"/>
      <w:r>
        <w:t>Képzések</w:t>
      </w:r>
    </w:p>
    <w:p w14:paraId="0C9B7966" w14:textId="77777777" w:rsidR="00D35003" w:rsidRDefault="00000000">
      <w:pPr>
        <w:pStyle w:val="FirstParagraph"/>
      </w:pPr>
      <w:r>
        <w:t>MS Teams képzés (2020/2021)</w:t>
      </w:r>
      <w:r>
        <w:br/>
        <w:t>Sprache und Bildung GmbH, Wetzlar, Németország</w:t>
      </w:r>
    </w:p>
    <w:p w14:paraId="438CF979" w14:textId="77777777" w:rsidR="00D35003" w:rsidRDefault="00000000">
      <w:pPr>
        <w:pStyle w:val="Szvegtrzs"/>
      </w:pPr>
      <w:r>
        <w:t>Traumatizált menekültekkel való munka (2018)</w:t>
      </w:r>
      <w:r>
        <w:br/>
        <w:t>Eichenberg Intézet, Koblenz, Németország</w:t>
      </w:r>
    </w:p>
    <w:p w14:paraId="124B725F" w14:textId="77777777" w:rsidR="00D35003" w:rsidRDefault="00000000">
      <w:pPr>
        <w:pStyle w:val="Cmsor3"/>
      </w:pPr>
      <w:bookmarkStart w:id="33" w:name="képesítések"/>
      <w:bookmarkEnd w:id="32"/>
      <w:r>
        <w:t>Képesítések</w:t>
      </w:r>
    </w:p>
    <w:p w14:paraId="736F7110" w14:textId="77777777" w:rsidR="00D35003" w:rsidRDefault="00000000">
      <w:pPr>
        <w:pStyle w:val="FirstParagraph"/>
      </w:pPr>
      <w:r>
        <w:t>Kiegészítő képesítés orientációs kurzusok oktatására integrációs képzésekben (2022)</w:t>
      </w:r>
      <w:r>
        <w:br/>
        <w:t>IB West gGmbH für Bildung und soziale Dienste, Sprachinstitut Bielefeld</w:t>
      </w:r>
    </w:p>
    <w:p w14:paraId="155168C1" w14:textId="77777777" w:rsidR="00D35003" w:rsidRDefault="00000000">
      <w:pPr>
        <w:pStyle w:val="Szvegtrzs"/>
      </w:pPr>
      <w:r>
        <w:lastRenderedPageBreak/>
        <w:t>Kiegészítő képesítés szaknyelvi kurzusok oktatóinak (2022)</w:t>
      </w:r>
      <w:r>
        <w:br/>
        <w:t>telc gGmbH, Frankfurt am Main</w:t>
      </w:r>
    </w:p>
    <w:p w14:paraId="6F2C63FD" w14:textId="77777777" w:rsidR="00D35003" w:rsidRDefault="00000000">
      <w:pPr>
        <w:pStyle w:val="Szvegtrzs"/>
      </w:pPr>
      <w:r>
        <w:t>Kiegészítő képesítés alfabetizációs kurzusok oktatóinak (2018)</w:t>
      </w:r>
      <w:r>
        <w:br/>
        <w:t>Philipps Egyetem, Marburg, Németország</w:t>
      </w:r>
    </w:p>
    <w:p w14:paraId="1504E3BD" w14:textId="77777777" w:rsidR="00D35003" w:rsidRDefault="00000000">
      <w:pPr>
        <w:pStyle w:val="Szvegtrzs"/>
      </w:pPr>
      <w:r>
        <w:t>Képesítés B2/C1 szintű szakmai nyelvi kurzusok vezetésére a DeuFöV alapján (2018)</w:t>
      </w:r>
      <w:r>
        <w:br/>
        <w:t>Fresko e.V., Kassel, Németország</w:t>
      </w:r>
    </w:p>
    <w:p w14:paraId="77A182D4" w14:textId="77777777" w:rsidR="00D35003" w:rsidRDefault="00000000">
      <w:r>
        <w:pict w14:anchorId="387286D9">
          <v:rect id="_x0000_i1084" style="width:0;height:1.5pt" o:hralign="center" o:hrstd="t" o:hr="t"/>
        </w:pict>
      </w:r>
    </w:p>
    <w:p w14:paraId="0A24EF90" w14:textId="77777777" w:rsidR="00D35003" w:rsidRDefault="00000000">
      <w:pPr>
        <w:pStyle w:val="Cmsor1"/>
      </w:pPr>
      <w:bookmarkStart w:id="34" w:name="további-szakmai-munkák"/>
      <w:bookmarkEnd w:id="31"/>
      <w:bookmarkEnd w:id="33"/>
      <w:r>
        <w:t>További szakmai munkák</w:t>
      </w:r>
    </w:p>
    <w:p w14:paraId="46071432" w14:textId="77777777" w:rsidR="00D35003" w:rsidRDefault="00000000">
      <w:pPr>
        <w:pStyle w:val="Cmsor3"/>
      </w:pPr>
      <w:bookmarkStart w:id="35" w:name="section-13"/>
      <w:r>
        <w:t>2006</w:t>
      </w:r>
    </w:p>
    <w:p w14:paraId="189E9470" w14:textId="77777777" w:rsidR="00D35003" w:rsidRDefault="00000000">
      <w:pPr>
        <w:pStyle w:val="FirstParagraph"/>
      </w:pPr>
      <w:r>
        <w:t xml:space="preserve">Csanád Bálint, </w:t>
      </w:r>
      <w:r>
        <w:rPr>
          <w:i/>
          <w:iCs/>
        </w:rPr>
        <w:t>Der Schatz von Nagyszentmiklós: Archäologische Studien zur frühmittelalterlichen Metallgefässkunst des Orients, Byzanz’ und der Steppe</w:t>
      </w:r>
      <w:r>
        <w:t xml:space="preserve">. </w:t>
      </w:r>
      <w:r>
        <w:rPr>
          <w:i/>
          <w:iCs/>
        </w:rPr>
        <w:t>Varia Archaeologica Hungarica</w:t>
      </w:r>
      <w:r>
        <w:t xml:space="preserve"> 16b. Budapest 2010.</w:t>
      </w:r>
    </w:p>
    <w:p w14:paraId="16B1511A" w14:textId="77777777" w:rsidR="00D35003" w:rsidRDefault="00000000">
      <w:pPr>
        <w:pStyle w:val="Cmsor2"/>
      </w:pPr>
      <w:bookmarkStart w:id="36" w:name="móra-ferenc-múzeum-szeged-magyarország"/>
      <w:bookmarkEnd w:id="35"/>
      <w:r>
        <w:t>Móra Ferenc Múzeum, Szeged, Magyarország</w:t>
      </w:r>
    </w:p>
    <w:p w14:paraId="2B80FFB4" w14:textId="77777777" w:rsidR="00D35003" w:rsidRDefault="00000000">
      <w:pPr>
        <w:pStyle w:val="Cmsor3"/>
      </w:pPr>
      <w:bookmarkStart w:id="37" w:name="section-14"/>
      <w:r>
        <w:t>2006</w:t>
      </w:r>
    </w:p>
    <w:p w14:paraId="0EDE6B25" w14:textId="77777777" w:rsidR="00D35003" w:rsidRDefault="00000000">
      <w:pPr>
        <w:pStyle w:val="FirstParagraph"/>
      </w:pPr>
      <w:r>
        <w:t>Cs. Balogh – B. Kóbor – A. Korom – A. Türk, Zománcberakásos korongfibula (egyedi típus). Előzetes jelentés az M5 autópálya-projekt keretében végzett megelőző feltárásról (Kistelek, Gera-föld, M5, FO.:7, objektum 216)</w:t>
      </w:r>
    </w:p>
    <w:p w14:paraId="05C11A40" w14:textId="77777777" w:rsidR="00D35003" w:rsidRDefault="00000000">
      <w:pPr>
        <w:pStyle w:val="Cmsor2"/>
      </w:pPr>
      <w:bookmarkStart w:id="38" w:name="X51ed57f754241d3e401215c76836753e46674ec"/>
      <w:bookmarkEnd w:id="36"/>
      <w:bookmarkEnd w:id="37"/>
      <w:r>
        <w:t>Szabó Gábor – ELTE Régészettudományi Intézet, Budapest</w:t>
      </w:r>
    </w:p>
    <w:p w14:paraId="5C18B861" w14:textId="77777777" w:rsidR="00D35003" w:rsidRDefault="00000000">
      <w:pPr>
        <w:pStyle w:val="Cmsor3"/>
      </w:pPr>
      <w:bookmarkStart w:id="39" w:name="section-15"/>
      <w:r>
        <w:t>2019</w:t>
      </w:r>
    </w:p>
    <w:p w14:paraId="3B6644BE" w14:textId="77777777" w:rsidR="00D35003" w:rsidRDefault="00000000">
      <w:pPr>
        <w:pStyle w:val="FirstParagraph"/>
      </w:pPr>
      <w:r>
        <w:t xml:space="preserve">Szabó Gábor, Az arany lábszárvédő, a páncéllelet és a kardpár. Új narratívák a késő bronzkori harcoselit ideológiájáról három új magyarországi fegyverdepot-lelet alapján. In: Hansen, S. – Krause, R. (szerk.), </w:t>
      </w:r>
      <w:r>
        <w:rPr>
          <w:i/>
          <w:iCs/>
        </w:rPr>
        <w:t>Materialisation of Conflicts</w:t>
      </w:r>
      <w:r>
        <w:t>. UPA 346. Bonn 2019, 163–190.</w:t>
      </w:r>
    </w:p>
    <w:p w14:paraId="5D680F41" w14:textId="77777777" w:rsidR="00D35003" w:rsidRDefault="00000000">
      <w:pPr>
        <w:pStyle w:val="Szvegtrzs"/>
      </w:pPr>
      <w:r>
        <w:t xml:space="preserve">Szabó Gábor, A katonai fenyegetettség régészeti nyomai Kelet-Magyarország településein a késő bronzkor végén és a kora vaskorban (Ha B2–3 és Ha C1). In: Hansen, S. – Krause, R. (szerk.), </w:t>
      </w:r>
      <w:r>
        <w:rPr>
          <w:i/>
          <w:iCs/>
        </w:rPr>
        <w:t>Die Frühgeschichte von Krieg und Konflikt</w:t>
      </w:r>
      <w:r>
        <w:t>. Bonn 2022, 321–350.</w:t>
      </w:r>
      <w:bookmarkEnd w:id="34"/>
      <w:bookmarkEnd w:id="38"/>
      <w:bookmarkEnd w:id="39"/>
    </w:p>
    <w:sectPr w:rsidR="00D35003">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6ED8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68204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D35003"/>
    <w:rsid w:val="00D35003"/>
    <w:rsid w:val="00DA5895"/>
    <w:rsid w:val="00EC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768A"/>
  <w15:docId w15:val="{E6F8757A-0E1D-4273-8BBB-D7A9AF6F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style>
  <w:style w:type="paragraph" w:styleId="Cmsor1">
    <w:name w:val="heading 1"/>
    <w:basedOn w:val="Norml"/>
    <w:next w:val="Szvegtrzs"/>
    <w:link w:val="Cmsor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Szvegtrzs"/>
    <w:link w:val="Cmsor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Szvegtrzs"/>
    <w:link w:val="Cmsor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Szvegtrzs"/>
    <w:link w:val="Cmsor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Szvegtrzs"/>
    <w:link w:val="Cmsor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Szvegtrzs"/>
    <w:link w:val="Cmsor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Szvegtrzs"/>
    <w:link w:val="Cmsor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Szvegtrzs"/>
    <w:link w:val="Cmsor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Szvegtrzs"/>
    <w:link w:val="Cmsor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qFormat/>
    <w:pPr>
      <w:spacing w:before="180" w:after="180"/>
    </w:pPr>
  </w:style>
  <w:style w:type="paragraph" w:customStyle="1" w:styleId="FirstParagraph">
    <w:name w:val="First Paragraph"/>
    <w:basedOn w:val="Szvegtrzs"/>
    <w:next w:val="Szvegtrzs"/>
    <w:qFormat/>
  </w:style>
  <w:style w:type="paragraph" w:customStyle="1" w:styleId="Compact">
    <w:name w:val="Compact"/>
    <w:basedOn w:val="Szvegtrzs"/>
    <w:qFormat/>
    <w:pPr>
      <w:spacing w:before="36" w:after="36"/>
    </w:pPr>
  </w:style>
  <w:style w:type="paragraph" w:styleId="Cm">
    <w:name w:val="Title"/>
    <w:basedOn w:val="Norml"/>
    <w:next w:val="Szvegtrzs"/>
    <w:link w:val="Cm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10FD9"/>
    <w:rPr>
      <w:rFonts w:asciiTheme="majorHAnsi" w:eastAsiaTheme="majorEastAsia" w:hAnsiTheme="majorHAnsi" w:cstheme="majorBidi"/>
      <w:spacing w:val="-10"/>
      <w:kern w:val="28"/>
      <w:sz w:val="56"/>
      <w:szCs w:val="56"/>
    </w:rPr>
  </w:style>
  <w:style w:type="paragraph" w:styleId="Alcm">
    <w:name w:val="Subtitle"/>
    <w:basedOn w:val="Cm"/>
    <w:next w:val="Szvegtrzs"/>
    <w:link w:val="AlcmChar"/>
    <w:uiPriority w:val="11"/>
    <w:qFormat/>
    <w:rsid w:val="00A10FD9"/>
    <w:pPr>
      <w:numPr>
        <w:ilvl w:val="1"/>
      </w:numPr>
    </w:pPr>
    <w:rPr>
      <w:spacing w:val="15"/>
      <w:sz w:val="28"/>
      <w:szCs w:val="28"/>
    </w:rPr>
  </w:style>
  <w:style w:type="character" w:customStyle="1" w:styleId="AlcmChar">
    <w:name w:val="Alcím Char"/>
    <w:basedOn w:val="Bekezdsalapbettpusa"/>
    <w:link w:val="Alcm"/>
    <w:uiPriority w:val="11"/>
    <w:rsid w:val="00A10FD9"/>
    <w:rPr>
      <w:rFonts w:eastAsiaTheme="majorEastAsia" w:cstheme="majorBidi"/>
      <w:color w:val="595959" w:themeColor="text1" w:themeTint="A6"/>
      <w:spacing w:val="15"/>
      <w:sz w:val="28"/>
      <w:szCs w:val="28"/>
    </w:rPr>
  </w:style>
  <w:style w:type="paragraph" w:customStyle="1" w:styleId="Author">
    <w:name w:val="Author"/>
    <w:next w:val="Szvegtrzs"/>
    <w:qFormat/>
    <w:pPr>
      <w:keepNext/>
      <w:keepLines/>
      <w:jc w:val="center"/>
    </w:pPr>
  </w:style>
  <w:style w:type="paragraph" w:styleId="Dtum">
    <w:name w:val="Date"/>
    <w:next w:val="Szvegtrzs"/>
    <w:qFormat/>
    <w:pPr>
      <w:keepNext/>
      <w:keepLines/>
      <w:jc w:val="center"/>
    </w:pPr>
  </w:style>
  <w:style w:type="paragraph" w:customStyle="1" w:styleId="AbstractTitle">
    <w:name w:val="Abstract Title"/>
    <w:basedOn w:val="Norml"/>
    <w:next w:val="Abstract"/>
    <w:qFormat/>
    <w:pPr>
      <w:keepNext/>
      <w:keepLines/>
      <w:spacing w:before="300" w:after="0"/>
      <w:jc w:val="center"/>
    </w:pPr>
    <w:rPr>
      <w:b/>
      <w:sz w:val="20"/>
      <w:szCs w:val="20"/>
    </w:rPr>
  </w:style>
  <w:style w:type="paragraph" w:customStyle="1" w:styleId="Abstract">
    <w:name w:val="Abstract"/>
    <w:basedOn w:val="Norml"/>
    <w:next w:val="Szvegtrzs"/>
    <w:qFormat/>
    <w:pPr>
      <w:keepNext/>
      <w:keepLines/>
      <w:spacing w:before="100" w:after="300"/>
    </w:pPr>
    <w:rPr>
      <w:sz w:val="20"/>
      <w:szCs w:val="20"/>
    </w:rPr>
  </w:style>
  <w:style w:type="paragraph" w:styleId="Irodalomjegyzk">
    <w:name w:val="Bibliography"/>
    <w:basedOn w:val="Norml"/>
    <w:qFormat/>
  </w:style>
  <w:style w:type="character" w:customStyle="1" w:styleId="Cmsor1Char">
    <w:name w:val="Címsor 1 Char"/>
    <w:basedOn w:val="Bekezdsalapbettpusa"/>
    <w:link w:val="Cmsor1"/>
    <w:uiPriority w:val="9"/>
    <w:rsid w:val="00A10FD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10FD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10FD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10FD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10FD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10FD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10FD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10FD9"/>
    <w:rPr>
      <w:rFonts w:eastAsiaTheme="majorEastAsia" w:cstheme="majorBidi"/>
      <w:color w:val="272727" w:themeColor="text1" w:themeTint="D8"/>
    </w:rPr>
  </w:style>
  <w:style w:type="paragraph" w:styleId="Szvegblokk">
    <w:name w:val="Block Text"/>
    <w:basedOn w:val="Szvegtrzs"/>
    <w:next w:val="Szvegtrzs"/>
    <w:uiPriority w:val="9"/>
    <w:unhideWhenUsed/>
    <w:qFormat/>
    <w:pPr>
      <w:spacing w:before="100" w:after="100"/>
      <w:ind w:left="480" w:right="480"/>
    </w:pPr>
  </w:style>
  <w:style w:type="paragraph" w:styleId="Lbjegyzetszveg">
    <w:name w:val="footnote text"/>
    <w:basedOn w:val="Norml"/>
    <w:uiPriority w:val="9"/>
    <w:unhideWhenUsed/>
    <w:qFormat/>
  </w:style>
  <w:style w:type="paragraph" w:customStyle="1" w:styleId="FootnoteBlockText">
    <w:name w:val="Footnote Block Text"/>
    <w:basedOn w:val="Lbjegyzetszveg"/>
    <w:next w:val="Lbjegyzetszveg"/>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l"/>
    <w:next w:val="Definition"/>
    <w:pPr>
      <w:keepNext/>
      <w:keepLines/>
      <w:spacing w:after="0"/>
    </w:pPr>
    <w:rPr>
      <w:b/>
    </w:rPr>
  </w:style>
  <w:style w:type="paragraph" w:customStyle="1" w:styleId="Definition">
    <w:name w:val="Definition"/>
    <w:basedOn w:val="Norml"/>
  </w:style>
  <w:style w:type="paragraph" w:styleId="Kpalrs">
    <w:name w:val="caption"/>
    <w:basedOn w:val="Norml"/>
    <w:link w:val="KpalrsChar"/>
    <w:pPr>
      <w:spacing w:after="120"/>
    </w:pPr>
    <w:rPr>
      <w:i/>
    </w:rPr>
  </w:style>
  <w:style w:type="paragraph" w:customStyle="1" w:styleId="TableCaption">
    <w:name w:val="Table Caption"/>
    <w:basedOn w:val="Kpalrs"/>
    <w:pPr>
      <w:keepNext/>
    </w:pPr>
  </w:style>
  <w:style w:type="paragraph" w:customStyle="1" w:styleId="ImageCaption">
    <w:name w:val="Image Caption"/>
    <w:basedOn w:val="Kpalrs"/>
  </w:style>
  <w:style w:type="paragraph" w:customStyle="1" w:styleId="Figure">
    <w:name w:val="Figure"/>
    <w:basedOn w:val="Norml"/>
  </w:style>
  <w:style w:type="paragraph" w:customStyle="1" w:styleId="CaptionedFigure">
    <w:name w:val="Captioned Figure"/>
    <w:basedOn w:val="Figure"/>
    <w:pPr>
      <w:keepNext/>
    </w:pPr>
  </w:style>
  <w:style w:type="character" w:customStyle="1" w:styleId="KpalrsChar">
    <w:name w:val="Képaláírás Char"/>
    <w:basedOn w:val="Bekezdsalapbettpusa"/>
    <w:link w:val="Kpalrs"/>
  </w:style>
  <w:style w:type="character" w:customStyle="1" w:styleId="VerbatimChar">
    <w:name w:val="Verbatim Char"/>
    <w:basedOn w:val="KpalrsChar"/>
    <w:link w:val="SourceCode"/>
    <w:rPr>
      <w:rFonts w:ascii="Consolas" w:hAnsi="Consolas"/>
      <w:sz w:val="22"/>
    </w:rPr>
  </w:style>
  <w:style w:type="character" w:customStyle="1" w:styleId="SectionNumber">
    <w:name w:val="Section Number"/>
    <w:basedOn w:val="KpalrsChar"/>
  </w:style>
  <w:style w:type="character" w:styleId="Lbjegyzet-hivatkozs">
    <w:name w:val="footnote reference"/>
    <w:basedOn w:val="KpalrsChar"/>
    <w:rPr>
      <w:vertAlign w:val="superscript"/>
    </w:rPr>
  </w:style>
  <w:style w:type="character" w:styleId="Hiperhivatkozs">
    <w:name w:val="Hyperlink"/>
    <w:basedOn w:val="KpalrsChar"/>
    <w:rPr>
      <w:color w:val="156082" w:themeColor="accent1"/>
    </w:rPr>
  </w:style>
  <w:style w:type="paragraph" w:styleId="Tartalomjegyzkcmsora">
    <w:name w:val="TOC Heading"/>
    <w:basedOn w:val="Cmsor1"/>
    <w:next w:val="Szvegtrzs"/>
    <w:uiPriority w:val="39"/>
    <w:unhideWhenUsed/>
    <w:qFormat/>
    <w:pPr>
      <w:spacing w:before="240" w:line="259" w:lineRule="auto"/>
      <w:outlineLvl w:val="9"/>
    </w:pPr>
  </w:style>
  <w:style w:type="paragraph" w:customStyle="1" w:styleId="SourceCode">
    <w:name w:val="Source Code"/>
    <w:basedOn w:val="Norm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985</Words>
  <Characters>6798</Characters>
  <Application>Microsoft Office Word</Application>
  <DocSecurity>0</DocSecurity>
  <Lines>56</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Türk Attila</cp:lastModifiedBy>
  <cp:revision>2</cp:revision>
  <dcterms:created xsi:type="dcterms:W3CDTF">2026-07-01T07:54:00Z</dcterms:created>
  <dcterms:modified xsi:type="dcterms:W3CDTF">2026-07-01T07:58:00Z</dcterms:modified>
</cp:coreProperties>
</file>