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10124"/>
      </w:tblGrid>
      <w:tr w:rsidR="00000000" w14:paraId="76DE46A3" w14:textId="77777777" w:rsidTr="005C59F7"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</w:tcPr>
          <w:p w14:paraId="5C46FC18" w14:textId="77777777" w:rsidR="00000000" w:rsidRDefault="00000000">
            <w:pPr>
              <w:jc w:val="center"/>
            </w:pPr>
            <w:r>
              <w:t>Etikatörténet 2. (klasszikus német), Értékelméletek</w:t>
            </w:r>
          </w:p>
          <w:p w14:paraId="2A420DFF" w14:textId="77777777" w:rsidR="00000000" w:rsidRDefault="00000000">
            <w:pPr>
              <w:jc w:val="center"/>
            </w:pPr>
            <w:r>
              <w:rPr>
                <w:b/>
                <w:bCs/>
              </w:rPr>
              <w:t xml:space="preserve">A kategorikus imperatívusz etikája </w:t>
            </w:r>
          </w:p>
          <w:p w14:paraId="431FAAFB" w14:textId="53AABB62" w:rsidR="00000000" w:rsidRDefault="00000000">
            <w:pPr>
              <w:jc w:val="center"/>
            </w:pPr>
            <w:r>
              <w:t>szövegolvasó szeminárium, BONET0</w:t>
            </w:r>
            <w:r w:rsidR="002E7786">
              <w:t>1</w:t>
            </w:r>
            <w:r>
              <w:t>300, BBNSF15800</w:t>
            </w:r>
          </w:p>
          <w:p w14:paraId="30EF33A1" w14:textId="77777777" w:rsidR="00000000" w:rsidRDefault="00000000">
            <w:pPr>
              <w:jc w:val="center"/>
            </w:pPr>
          </w:p>
          <w:p w14:paraId="639C7629" w14:textId="71889D25" w:rsidR="00000000" w:rsidRDefault="00000000">
            <w:pPr>
              <w:jc w:val="center"/>
            </w:pPr>
            <w:r>
              <w:t>202</w:t>
            </w:r>
            <w:r w:rsidR="002E7786">
              <w:t>5</w:t>
            </w:r>
            <w:r>
              <w:t>. tavasz</w:t>
            </w:r>
          </w:p>
          <w:p w14:paraId="046DF876" w14:textId="77777777" w:rsidR="00000000" w:rsidRDefault="00000000">
            <w:pPr>
              <w:jc w:val="center"/>
            </w:pPr>
          </w:p>
          <w:p w14:paraId="09E17A1F" w14:textId="77777777" w:rsidR="00000000" w:rsidRDefault="00000000">
            <w:pPr>
              <w:jc w:val="center"/>
            </w:pPr>
            <w:r>
              <w:rPr>
                <w:b/>
                <w:bCs/>
              </w:rPr>
              <w:t xml:space="preserve">KURZUSLEÍRÁS </w:t>
            </w:r>
          </w:p>
          <w:p w14:paraId="2A16B408" w14:textId="77777777" w:rsidR="00000000" w:rsidRDefault="00000000">
            <w:pPr>
              <w:jc w:val="center"/>
            </w:pPr>
          </w:p>
          <w:p w14:paraId="4405564C" w14:textId="77777777" w:rsidR="00000000" w:rsidRDefault="00000000">
            <w:pPr>
              <w:jc w:val="both"/>
            </w:pPr>
            <w:r>
              <w:t xml:space="preserve">A kurzus célja, hogy megismertesse a résztvevőket Kant etikájával, amely ma is egyike a legbefolyásosabb etikai elméleteknek, ezen keresztül betekintést nyújtson az etika legfontosabb kérdéseibe, közben gyakoroltassa a szigorúan következetes gondolkodást, fokozza a szövegelemzési készséget és növelje a filozófiai szaknyelvben való jártasságot. </w:t>
            </w:r>
          </w:p>
          <w:p w14:paraId="1BCC6EB7" w14:textId="77777777" w:rsidR="00000000" w:rsidRDefault="00000000">
            <w:pPr>
              <w:jc w:val="both"/>
            </w:pPr>
            <w:r>
              <w:t xml:space="preserve">Hétről hétre egy-egy 4-6 oldalas szövegrészlet feldolgozására kerül sor Immanuel Kant </w:t>
            </w:r>
            <w:r>
              <w:rPr>
                <w:i/>
              </w:rPr>
              <w:t>Az erkölcsök metafizikájának alapvetése</w:t>
            </w:r>
            <w:r>
              <w:t xml:space="preserve"> című művéből. A tanári irányítással végzett szövegolvasás feladata a mű argumentációs struktúrájának feltárása, legfontosabb tételeinek értelmezése és napjaink morális problematikájával való szembesítése. </w:t>
            </w:r>
          </w:p>
          <w:p w14:paraId="0CC01270" w14:textId="77777777" w:rsidR="00000000" w:rsidRDefault="00000000">
            <w:pPr>
              <w:jc w:val="center"/>
            </w:pPr>
          </w:p>
          <w:p w14:paraId="3F900FC1" w14:textId="77777777" w:rsidR="00000000" w:rsidRDefault="00000000">
            <w:pPr>
              <w:jc w:val="both"/>
            </w:pPr>
            <w:r>
              <w:rPr>
                <w:b/>
                <w:bCs/>
              </w:rPr>
              <w:t>Oktató</w:t>
            </w:r>
            <w:r>
              <w:t>: Hankovszky Tamás (</w:t>
            </w:r>
            <w:hyperlink r:id="rId7" w:history="1">
              <w:r>
                <w:rPr>
                  <w:rStyle w:val="Hiperhivatkozs"/>
                </w:rPr>
                <w:t>hankovszky@btk.ppke.hu</w:t>
              </w:r>
            </w:hyperlink>
            <w:r>
              <w:t>)</w:t>
            </w:r>
          </w:p>
          <w:p w14:paraId="14B93A61" w14:textId="77777777" w:rsidR="00000000" w:rsidRDefault="00000000">
            <w:pPr>
              <w:jc w:val="both"/>
            </w:pPr>
            <w:r>
              <w:rPr>
                <w:b/>
                <w:bCs/>
              </w:rPr>
              <w:t>Időpont</w:t>
            </w:r>
            <w:r>
              <w:t>: kedd 10.15 – 11.</w:t>
            </w:r>
            <w:r>
              <w:rPr>
                <w:bCs/>
              </w:rPr>
              <w:t xml:space="preserve">45 </w:t>
            </w:r>
          </w:p>
          <w:p w14:paraId="210157DC" w14:textId="77777777" w:rsidR="00000000" w:rsidRDefault="00000000">
            <w:pPr>
              <w:jc w:val="both"/>
            </w:pPr>
            <w:r>
              <w:rPr>
                <w:b/>
                <w:bCs/>
              </w:rPr>
              <w:t>Hely</w:t>
            </w:r>
            <w:r>
              <w:t xml:space="preserve">: </w:t>
            </w:r>
            <w:r>
              <w:rPr>
                <w:bCs/>
              </w:rPr>
              <w:t>414</w:t>
            </w:r>
          </w:p>
          <w:p w14:paraId="4B944460" w14:textId="77777777" w:rsidR="00000000" w:rsidRDefault="00000000">
            <w:pPr>
              <w:jc w:val="both"/>
            </w:pPr>
          </w:p>
          <w:p w14:paraId="120FEC39" w14:textId="77777777" w:rsidR="00000000" w:rsidRDefault="00000000">
            <w:pPr>
              <w:jc w:val="both"/>
            </w:pPr>
            <w:r>
              <w:rPr>
                <w:b/>
                <w:bCs/>
              </w:rPr>
              <w:t>Munkamódszer</w:t>
            </w:r>
          </w:p>
          <w:p w14:paraId="07E5F5EA" w14:textId="77777777" w:rsidR="00000000" w:rsidRDefault="00000000">
            <w:pPr>
              <w:jc w:val="both"/>
            </w:pPr>
            <w:r>
              <w:t xml:space="preserve">A szeminárium a hallgatók otthoni és órai aktivitására épülő oktatási forma. Az órák a résztvevők tanári irányítással folyó beszélgetéseként valósulnak meg, így a foglalkozások látogatása, a csapatmunka és a hétről-hétre való készülés elengedhetetlen. Minden órát azzal kezdünk, hogy a kijelölt szöveg gondolati egységeit elkülönítjük egymástól, és minden egységgel kapcsolatban megpróbálunk válaszolni három alapvető kérdésre. 1. Miről szól (mi lehetne a címe)? 2. Mit állít azzal kapcsolatban, amiről szól? 3. Miért fontos ez az állítás a szöveg által megvalósítani kívánt projekt szempontjából? Ezért az órára való készülés terjedjen ki a szöveg tagolására és e kérdések megválaszolására. A foglalkozásra a kijelölt szöveget mindenki </w:t>
            </w:r>
            <w:r>
              <w:rPr>
                <w:i/>
                <w:iCs/>
              </w:rPr>
              <w:t>kinyomtatva</w:t>
            </w:r>
            <w:r>
              <w:t xml:space="preserve"> hozza magával, és előzetesen jelölje be benne a gondolati egységek határát! Telefonon, tableten hozott szöveg nem megfelelő.</w:t>
            </w:r>
          </w:p>
          <w:p w14:paraId="1C17D61F" w14:textId="77777777" w:rsidR="00000000" w:rsidRDefault="00000000">
            <w:pPr>
              <w:jc w:val="both"/>
            </w:pPr>
          </w:p>
          <w:p w14:paraId="597E1B02" w14:textId="77777777" w:rsidR="00000000" w:rsidRDefault="00000000">
            <w:pPr>
              <w:jc w:val="both"/>
            </w:pPr>
            <w:r>
              <w:rPr>
                <w:b/>
                <w:bCs/>
              </w:rPr>
              <w:t>Követelmények</w:t>
            </w:r>
          </w:p>
          <w:p w14:paraId="55DEFAF6" w14:textId="77777777" w:rsidR="00000000" w:rsidRDefault="00000000">
            <w:pPr>
              <w:jc w:val="both"/>
            </w:pPr>
            <w:r>
              <w:t>A hallgatók a félév végén aláírást és gyakorlati jegyet kaphatnak. A foglalkozásokon való aktív részvétel mindegyiknek feltétele. A gyakorlati jegyet a minidolgozatok és az otthoni készülésre épülő órai munka határozzák meg. Ha e kettő közül bármelyik elégtelen, a félév végi jegy is elégtelen.</w:t>
            </w:r>
          </w:p>
          <w:p w14:paraId="664E8409" w14:textId="77777777" w:rsidR="00000000" w:rsidRDefault="00000000">
            <w:pPr>
              <w:jc w:val="both"/>
            </w:pPr>
            <w:r>
              <w:rPr>
                <w:u w:val="single"/>
              </w:rPr>
              <w:t>Hiányzás</w:t>
            </w:r>
            <w:r>
              <w:t xml:space="preserve"> A szemináriumokon a részvétel kötelező. A maximális hiányzási lehetőség 4x45 perc. Ennél több hiányzás esetén a kurzusra nem jár aláírás (így jegy sem). „Igazolt” és „igazolatlan” hiányzás között nincs különbség.</w:t>
            </w:r>
            <w:r>
              <w:rPr>
                <w:u w:val="single"/>
              </w:rPr>
              <w:t xml:space="preserve"> </w:t>
            </w:r>
          </w:p>
          <w:p w14:paraId="6D2C30D9" w14:textId="77777777" w:rsidR="00000000" w:rsidRDefault="00000000">
            <w:pPr>
              <w:jc w:val="both"/>
            </w:pPr>
            <w:r>
              <w:rPr>
                <w:u w:val="single"/>
              </w:rPr>
              <w:t>Órai munka</w:t>
            </w:r>
            <w:r>
              <w:t xml:space="preserve"> Senki nem teljesítheti a kurzust anélkül, hogy bekapcsolódna az órákon folyó szakmai beszélgetésbe, erre pedig csak az otthoni felkészülés képesít!</w:t>
            </w:r>
          </w:p>
          <w:p w14:paraId="535ADE08" w14:textId="77777777" w:rsidR="00000000" w:rsidRDefault="00000000">
            <w:pPr>
              <w:jc w:val="both"/>
            </w:pPr>
            <w:r>
              <w:rPr>
                <w:u w:val="single"/>
              </w:rPr>
              <w:t>Minidolgozat</w:t>
            </w:r>
            <w:r>
              <w:t xml:space="preserve"> A második héttől kezdve minden órára minidolgozatot kell írni.</w:t>
            </w:r>
          </w:p>
          <w:p w14:paraId="6004B3A5" w14:textId="49DB7A0D" w:rsidR="00000000" w:rsidRDefault="00000000">
            <w:pPr>
              <w:jc w:val="both"/>
            </w:pPr>
            <w:r>
              <w:rPr>
                <w:i/>
                <w:iCs/>
              </w:rPr>
              <w:t>Téma</w:t>
            </w:r>
            <w:r>
              <w:t xml:space="preserve">: a soron következő szöveg tartalmának összefoglalója. Egyszerűen (és leegyszerűsítően) mesélje el, miről szól a szöveg, mik a főbb tézisei, </w:t>
            </w:r>
            <w:r w:rsidR="005D221E">
              <w:t xml:space="preserve">érvei, </w:t>
            </w:r>
            <w:r>
              <w:t xml:space="preserve">milyen nagyobb egységekből épül fel stb. A dolgozat értékelésnek </w:t>
            </w:r>
            <w:r w:rsidR="005D221E">
              <w:t>(</w:t>
            </w:r>
            <w:r w:rsidR="005D221E">
              <w:t>a szöveg nyelvi megformáltsága mellett</w:t>
            </w:r>
            <w:r w:rsidR="005D221E">
              <w:t xml:space="preserve">) </w:t>
            </w:r>
            <w:r>
              <w:t>egyik fontos szempontja, mennyire sikerült a lényeges pontokat kiemelnie. A feladat tehát nem az, hogy a minidolgozat önállóan feldolgozza ugyanazt a témát, amelyről a szerző is beszélt, vagy arról mondjon valamit, hogy hogyan beszélt róla, hanem hogy a lehető legpontosabban adja vissza azt, amit mondott. Természetesen ez is interpretációt követel, hisz a szerző mondandójának lényegét kell megragadni.</w:t>
            </w:r>
          </w:p>
          <w:p w14:paraId="2F6C9982" w14:textId="77777777" w:rsidR="00000000" w:rsidRDefault="00000000">
            <w:pPr>
              <w:jc w:val="both"/>
            </w:pPr>
            <w:r>
              <w:rPr>
                <w:i/>
                <w:iCs/>
              </w:rPr>
              <w:t>Leadási határidő</w:t>
            </w:r>
            <w:r>
              <w:t xml:space="preserve"> (kinyomtatva </w:t>
            </w:r>
            <w:r>
              <w:rPr>
                <w:i/>
                <w:iCs/>
              </w:rPr>
              <w:t>és</w:t>
            </w:r>
            <w:r>
              <w:t xml:space="preserve"> elektronikusan is be kell adni):</w:t>
            </w:r>
          </w:p>
          <w:p w14:paraId="7449DE86" w14:textId="77777777" w:rsidR="00000000" w:rsidRDefault="00000000">
            <w:pPr>
              <w:jc w:val="both"/>
            </w:pPr>
            <w:r>
              <w:t>elektronikusan: az adott órát megelőző hétfő 22.00 óra (</w:t>
            </w:r>
            <w:hyperlink r:id="rId8" w:history="1">
              <w:r>
                <w:rPr>
                  <w:rStyle w:val="Hiperhivatkozs"/>
                </w:rPr>
                <w:t>hankovszky@btk.ppke.hu</w:t>
              </w:r>
            </w:hyperlink>
            <w:r>
              <w:t>)</w:t>
            </w:r>
          </w:p>
          <w:p w14:paraId="50EAB3C3" w14:textId="77777777" w:rsidR="00000000" w:rsidRDefault="00000000">
            <w:pPr>
              <w:ind w:left="1029"/>
              <w:jc w:val="both"/>
            </w:pPr>
            <w:r>
              <w:rPr>
                <w:bCs/>
              </w:rPr>
              <w:t>és</w:t>
            </w:r>
          </w:p>
          <w:p w14:paraId="56FF2E0F" w14:textId="77777777" w:rsidR="00000000" w:rsidRDefault="00000000">
            <w:pPr>
              <w:jc w:val="both"/>
            </w:pPr>
            <w:r>
              <w:t>kinyomtatva: az adott órán</w:t>
            </w:r>
          </w:p>
          <w:p w14:paraId="1696D6B6" w14:textId="77777777" w:rsidR="00000000" w:rsidRDefault="00000000">
            <w:pPr>
              <w:jc w:val="both"/>
            </w:pPr>
            <w:r>
              <w:t>A határidő után leadott dolgozatok elmulasztottnak számítanak.</w:t>
            </w:r>
          </w:p>
          <w:p w14:paraId="33B7AEC1" w14:textId="77777777" w:rsidR="00000000" w:rsidRDefault="00000000">
            <w:pPr>
              <w:jc w:val="both"/>
            </w:pPr>
            <w:r>
              <w:t xml:space="preserve">Az elmulasztható dolgozatok megengedett száma 3. Ennél több mulasztás esetén a kurzusra nem jár aláírás (így jegy sem). </w:t>
            </w:r>
          </w:p>
          <w:p w14:paraId="28B7E327" w14:textId="77777777" w:rsidR="00000000" w:rsidRDefault="00000000">
            <w:pPr>
              <w:jc w:val="both"/>
            </w:pPr>
            <w:r>
              <w:lastRenderedPageBreak/>
              <w:t>A leadott minidolgozatnak el kell érnie egy bizonyos minőséget ahhoz, hogy ne számítson elmulasztottnak (hanem legalább elégtelennek). Nehéz egzakt módon definiálni, hogy milyen szintet. A leadott szövegből mindenesetre ki kell derülnie, hogy készítője legalábbis elolvasta és alapszinten megértette az elemzett szöveget. Ha pl. az összefoglaló csak a szöveg első feléről számol be, ez a feltétel nem teljesül. Az is fontos, hogy az egyes hallgatók által leadott dolgozatok eléggé különbözzenek egymástól, ne egymás átfogalmazásai legyenek.</w:t>
            </w:r>
          </w:p>
          <w:p w14:paraId="31921C1F" w14:textId="77777777" w:rsidR="00000000" w:rsidRDefault="00000000">
            <w:pPr>
              <w:jc w:val="both"/>
            </w:pPr>
            <w:r>
              <w:t>Az elmulasztott minidolgozat „nullásnak” számít, ám a három legrosszabb jegy (legyen az elmulasztás vagy bármi más következménye) a félév végi jegybe nem számít bele. Hasonlóképpen nem számít bele a legjobb jegy sem, ha abból a jegyből a hallgató csak egyet szerzett.</w:t>
            </w:r>
          </w:p>
          <w:p w14:paraId="4D4D99A4" w14:textId="77777777" w:rsidR="00000000" w:rsidRDefault="00000000">
            <w:pPr>
              <w:jc w:val="both"/>
            </w:pPr>
            <w:r>
              <w:t xml:space="preserve">A minidolgozat </w:t>
            </w:r>
            <w:r>
              <w:rPr>
                <w:i/>
                <w:iCs/>
              </w:rPr>
              <w:t>formai követelményei</w:t>
            </w:r>
            <w:r>
              <w:t>:</w:t>
            </w:r>
          </w:p>
          <w:p w14:paraId="350C1440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Cím ne legyen, a cím helyére az elemzett bekezdések sorszáma kerüljön: (pl. 14–22)</w:t>
            </w:r>
          </w:p>
          <w:p w14:paraId="2B71B5C4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Terjedelme szóközökkel együtt minimum 2800, maximum 3000 karakter (kb. egy oldal) legyen! A betűméret, a sorköz vagy a margók beállításával formálja úgy a szöveget, hogy egy-egy minidolgozat férjen el egy oldalon, és </w:t>
            </w:r>
            <w:r>
              <w:rPr>
                <w:i/>
              </w:rPr>
              <w:t>esztétikusan</w:t>
            </w:r>
            <w:r>
              <w:t xml:space="preserve"> töltse ki azt!</w:t>
            </w:r>
          </w:p>
          <w:p w14:paraId="4456E3DD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A szöveg legyen folytonos (tehát nem vázlatpontokból álló)! Legfeljebb </w:t>
            </w:r>
            <w:r>
              <w:rPr>
                <w:i/>
              </w:rPr>
              <w:t>négy</w:t>
            </w:r>
            <w:r>
              <w:t xml:space="preserve"> bekezdésre tagolódjon!</w:t>
            </w:r>
          </w:p>
          <w:p w14:paraId="54706FF3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Mindenféle bevezető nélkül </w:t>
            </w:r>
            <w:proofErr w:type="spellStart"/>
            <w:r>
              <w:t>kezdődjön</w:t>
            </w:r>
            <w:proofErr w:type="spellEnd"/>
            <w:r>
              <w:t xml:space="preserve"> azonnal a kijelölt szöveg tartalmának ismertetésével!</w:t>
            </w:r>
          </w:p>
          <w:p w14:paraId="78838EDF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A bemutatott gondolatokat ne értékelje, ne </w:t>
            </w:r>
            <w:proofErr w:type="spellStart"/>
            <w:r>
              <w:t>kontextualizálja</w:t>
            </w:r>
            <w:proofErr w:type="spellEnd"/>
            <w:r>
              <w:t>!</w:t>
            </w:r>
          </w:p>
          <w:p w14:paraId="6A0CF9CB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Alcímeket ne tartalmazzon!</w:t>
            </w:r>
          </w:p>
          <w:p w14:paraId="0ED7D975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Bibliográfiát ne tartalmazzon!</w:t>
            </w:r>
          </w:p>
          <w:p w14:paraId="09BE28E3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Lábjegyzeteket ne tartalmazzon!</w:t>
            </w:r>
          </w:p>
          <w:p w14:paraId="5F333599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Egy-egy szintagmánál (pl. „kategorikus imperatívusz”) hosszabb idézeteket ne tartalmazzon!</w:t>
            </w:r>
          </w:p>
          <w:p w14:paraId="4A9C2412" w14:textId="303C98D0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 xml:space="preserve">A szöveget elektronikusan </w:t>
            </w:r>
            <w:proofErr w:type="spellStart"/>
            <w:r>
              <w:t>doc</w:t>
            </w:r>
            <w:proofErr w:type="spellEnd"/>
            <w:r>
              <w:t xml:space="preserve"> vagy </w:t>
            </w:r>
            <w:proofErr w:type="spellStart"/>
            <w:r>
              <w:t>docx</w:t>
            </w:r>
            <w:proofErr w:type="spellEnd"/>
            <w:r>
              <w:t xml:space="preserve"> formátumban kell beadni (más formátumot, pl. PDF nem fogadok el).</w:t>
            </w:r>
          </w:p>
          <w:p w14:paraId="6320992F" w14:textId="77777777" w:rsidR="00000000" w:rsidRDefault="00000000">
            <w:pPr>
              <w:numPr>
                <w:ilvl w:val="0"/>
                <w:numId w:val="3"/>
              </w:numPr>
              <w:jc w:val="both"/>
            </w:pPr>
            <w:r>
              <w:t>A fájl címe két egységből álljon: a dolgozat írójának vezetéknevéből, illetve a feldolgozott bekezdések sorszámából, kiegészítve – az „Első résztől” kezdve – a részre utaló számmal (pl. Hankovszky – 1,1-13)</w:t>
            </w:r>
          </w:p>
          <w:p w14:paraId="74A18753" w14:textId="77777777" w:rsidR="00000000" w:rsidRDefault="00000000">
            <w:pPr>
              <w:jc w:val="both"/>
            </w:pPr>
            <w:r>
              <w:t>A formailag nem megfelelő, (elektronikusan vagy nyomtatva) késve érkezett vagy a Word által is jelzett helyesírási hibákat tartalmazó dolgozatokat olvasatlanul elutasítom, és elmulasztottnak minősítem.</w:t>
            </w:r>
          </w:p>
          <w:p w14:paraId="73D16087" w14:textId="77777777" w:rsidR="00000000" w:rsidRDefault="00000000">
            <w:pPr>
              <w:jc w:val="both"/>
            </w:pPr>
          </w:p>
          <w:p w14:paraId="4271121B" w14:textId="77777777" w:rsidR="00000000" w:rsidRDefault="00000000">
            <w:pPr>
              <w:jc w:val="both"/>
              <w:rPr>
                <w:rStyle w:val="Hiperhivatkozs"/>
                <w:color w:val="auto"/>
                <w:u w:val="none"/>
              </w:rPr>
            </w:pPr>
            <w:r>
              <w:rPr>
                <w:b/>
                <w:bCs/>
              </w:rPr>
              <w:t>A tervezett menetrend</w:t>
            </w:r>
          </w:p>
          <w:p w14:paraId="06D0616A" w14:textId="77777777" w:rsidR="00000000" w:rsidRDefault="00000000">
            <w:pPr>
              <w:jc w:val="both"/>
              <w:rPr>
                <w:rStyle w:val="Hiperhivatkozs"/>
                <w:color w:val="auto"/>
                <w:u w:val="none"/>
              </w:rPr>
            </w:pPr>
            <w:r>
              <w:t xml:space="preserve">Az időbeosztás és az olvasnivalók a félév folyamán változhatnak. Ezért az órákra való készülést ajánlott mindig a kurzus honlapjának felkeresésével kezdeni. </w:t>
            </w:r>
          </w:p>
          <w:tbl>
            <w:tblPr>
              <w:tblW w:w="98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"/>
              <w:gridCol w:w="9000"/>
            </w:tblGrid>
            <w:tr w:rsidR="00000000" w14:paraId="2AA79352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335DD8D" w14:textId="77777777" w:rsidR="00000000" w:rsidRDefault="00000000">
                  <w:pPr>
                    <w:pStyle w:val="Szvegtrzs"/>
                  </w:pPr>
                  <w:r>
                    <w:t>2.11.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812CFC" w14:textId="77777777" w:rsidR="00000000" w:rsidRDefault="00000000">
                  <w:pPr>
                    <w:rPr>
                      <w:rStyle w:val="Hiperhivatkozs"/>
                      <w:color w:val="auto"/>
                      <w:u w:val="none"/>
                    </w:rPr>
                  </w:pPr>
                  <w:r>
                    <w:rPr>
                      <w:bCs/>
                    </w:rPr>
                    <w:t>Kurzusmegbeszélés, bevezetés</w:t>
                  </w:r>
                </w:p>
              </w:tc>
            </w:tr>
            <w:tr w:rsidR="00000000" w14:paraId="5F2D2E9E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9CB7E1D" w14:textId="77777777" w:rsidR="00000000" w:rsidRDefault="00000000">
                  <w:pPr>
                    <w:pStyle w:val="Szvegtrzs"/>
                  </w:pPr>
                  <w:r>
                    <w:t>2.18.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B209C3" w14:textId="77777777" w:rsidR="00000000" w:rsidRDefault="00000000">
                  <w:pPr>
                    <w:rPr>
                      <w:b/>
                    </w:rPr>
                  </w:pPr>
                  <w:hyperlink r:id="rId9" w:tooltip="http://hankovszky.tamas.btk.ppke.hu/szgy/grundlegung/16-21k.pd" w:history="1">
                    <w:r>
                      <w:rPr>
                        <w:rStyle w:val="Hiperhivatkozs"/>
                        <w:i/>
                      </w:rPr>
                      <w:t>Előszó</w:t>
                    </w:r>
                  </w:hyperlink>
                  <w:r>
                    <w:rPr>
                      <w:i/>
                    </w:rPr>
                    <w:t xml:space="preserve"> </w:t>
                  </w:r>
                  <w:r>
                    <w:t xml:space="preserve">– </w:t>
                  </w:r>
                  <w:hyperlink r:id="rId10" w:tooltip="http://hankovszky.tamas.btk.ppke.hu/okta/kerd-grundlegung0.htm" w:history="1">
                    <w:r>
                      <w:rPr>
                        <w:rStyle w:val="Hiperhivatkozs"/>
                      </w:rPr>
                      <w:t>Kérdések, magyarázatok</w:t>
                    </w:r>
                  </w:hyperlink>
                </w:p>
              </w:tc>
            </w:tr>
            <w:tr w:rsidR="00000000" w14:paraId="7B9E32E1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36246C0" w14:textId="77777777" w:rsidR="00000000" w:rsidRDefault="00000000">
                  <w:pPr>
                    <w:pStyle w:val="Szvegtrzs"/>
                  </w:pPr>
                  <w:r>
                    <w:t>2.25.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412E68" w14:textId="77777777" w:rsidR="00000000" w:rsidRDefault="00000000">
                  <w:hyperlink r:id="rId11" w:tooltip="http://hankovszky.tamas.btk.ppke.hu/szgy/grundlegung/22-33k.pdf" w:history="1">
                    <w:r>
                      <w:rPr>
                        <w:rStyle w:val="Hiperhivatkozs"/>
                        <w:i/>
                      </w:rPr>
                      <w:t>Első rész</w:t>
                    </w:r>
                  </w:hyperlink>
                  <w:r>
                    <w:rPr>
                      <w:i/>
                    </w:rPr>
                    <w:t xml:space="preserve"> </w:t>
                  </w:r>
                  <w:r>
                    <w:t xml:space="preserve">(1–13. bekezdés) – </w:t>
                  </w:r>
                  <w:hyperlink r:id="rId12" w:tooltip="http://hankovszky.tamas.btk.ppke.hu/okta/kerd-grundlegung1.1.htm" w:history="1">
                    <w:r>
                      <w:rPr>
                        <w:rStyle w:val="Hiperhivatkozs"/>
                      </w:rPr>
                      <w:t>Kérdések, magyarázatok</w:t>
                    </w:r>
                  </w:hyperlink>
                </w:p>
              </w:tc>
            </w:tr>
            <w:tr w:rsidR="00000000" w14:paraId="0B7B838B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7F12DF8A" w14:textId="77777777" w:rsidR="00000000" w:rsidRDefault="00000000">
                  <w:pPr>
                    <w:pStyle w:val="Buborkszve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16B070" w14:textId="77777777" w:rsidR="00000000" w:rsidRDefault="00000000">
                  <w:r>
                    <w:rPr>
                      <w:i/>
                    </w:rPr>
                    <w:t xml:space="preserve">Első rész </w:t>
                  </w:r>
                  <w:r>
                    <w:t xml:space="preserve">(14–22. bekezdés) – </w:t>
                  </w:r>
                  <w:hyperlink r:id="rId13" w:tooltip="http://hankovszky.tamas.btk.ppke.hu/okta/kerd-grundlegung1.2.htm" w:history="1">
                    <w:r>
                      <w:rPr>
                        <w:rStyle w:val="Hiperhivatkozs"/>
                      </w:rPr>
                      <w:t>Kérdések, magyarázatok</w:t>
                    </w:r>
                  </w:hyperlink>
                </w:p>
              </w:tc>
            </w:tr>
            <w:tr w:rsidR="00000000" w14:paraId="1FB6E7B0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1C723095" w14:textId="77777777" w:rsidR="00000000" w:rsidRDefault="00000000">
                  <w:pPr>
                    <w:pStyle w:val="Buborkszve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3.11.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E89BC" w14:textId="77777777" w:rsidR="00000000" w:rsidRDefault="00000000">
                  <w:pPr>
                    <w:ind w:left="252" w:hanging="252"/>
                    <w:rPr>
                      <w:rStyle w:val="Hiperhivatkozs"/>
                      <w:color w:val="auto"/>
                      <w:u w:val="none"/>
                    </w:rPr>
                  </w:pPr>
                  <w:hyperlink r:id="rId14" w:tooltip="http://hankovszky.tamas.btk.ppke.hu/szgy/grundlegung/34-64.pdf" w:history="1">
                    <w:r>
                      <w:rPr>
                        <w:rStyle w:val="Hiperhivatkozs"/>
                        <w:i/>
                      </w:rPr>
                      <w:t>Második rész</w:t>
                    </w:r>
                  </w:hyperlink>
                  <w:r>
                    <w:rPr>
                      <w:i/>
                    </w:rPr>
                    <w:t xml:space="preserve"> </w:t>
                  </w:r>
                  <w:r>
                    <w:t xml:space="preserve">(1–15. bekezdés) – </w:t>
                  </w:r>
                  <w:hyperlink r:id="rId15" w:tooltip="http://hankovszky.tamas.btk.ppke.hu/okta/kerd-grundlegung2.1.htm" w:history="1">
                    <w:r>
                      <w:rPr>
                        <w:rStyle w:val="Hiperhivatkozs"/>
                      </w:rPr>
                      <w:t>Kérdések, magyarázatok</w:t>
                    </w:r>
                  </w:hyperlink>
                </w:p>
              </w:tc>
            </w:tr>
            <w:tr w:rsidR="00000000" w14:paraId="3DDEE88A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46E2FE1D" w14:textId="77777777" w:rsidR="00000000" w:rsidRDefault="00000000">
                  <w:pPr>
                    <w:pStyle w:val="Szvegtrzs"/>
                  </w:pPr>
                  <w:r>
                    <w:t>3.18.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3B7AB3" w14:textId="77777777" w:rsidR="00000000" w:rsidRDefault="00000000">
                  <w:pPr>
                    <w:ind w:left="18"/>
                    <w:rPr>
                      <w:rStyle w:val="Hiperhivatkozs"/>
                      <w:color w:val="auto"/>
                      <w:u w:val="none"/>
                    </w:rPr>
                  </w:pPr>
                  <w:r>
                    <w:rPr>
                      <w:i/>
                    </w:rPr>
                    <w:t xml:space="preserve">Második rész </w:t>
                  </w:r>
                  <w:r>
                    <w:t xml:space="preserve">(16–32. bekezdés) – </w:t>
                  </w:r>
                  <w:hyperlink r:id="rId16" w:tooltip="http://hankovszky.tamas.btk.ppke.hu/okta/kerd-grundlegung2.2.htm" w:history="1">
                    <w:r>
                      <w:rPr>
                        <w:rStyle w:val="Hiperhivatkozs"/>
                      </w:rPr>
                      <w:t>Kérdések, magyarázatok</w:t>
                    </w:r>
                  </w:hyperlink>
                </w:p>
              </w:tc>
            </w:tr>
            <w:tr w:rsidR="00000000" w14:paraId="64CA4982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B8BC2DC" w14:textId="77777777" w:rsidR="00000000" w:rsidRDefault="00000000">
                  <w:pPr>
                    <w:pStyle w:val="Szvegtrzs"/>
                  </w:pPr>
                  <w:r>
                    <w:t>3.25.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BF4BC3" w14:textId="77777777" w:rsidR="00000000" w:rsidRDefault="00000000">
                  <w:pPr>
                    <w:ind w:left="18"/>
                    <w:rPr>
                      <w:rStyle w:val="Hiperhivatkozs"/>
                      <w:color w:val="auto"/>
                      <w:u w:val="none"/>
                    </w:rPr>
                  </w:pPr>
                  <w:r>
                    <w:rPr>
                      <w:i/>
                    </w:rPr>
                    <w:t xml:space="preserve">Második rész </w:t>
                  </w:r>
                  <w:r>
                    <w:t xml:space="preserve">(33–45. bekezdés) – </w:t>
                  </w:r>
                  <w:hyperlink r:id="rId17" w:tooltip="http://hankovszky.tamas.btk.ppke.hu/okta/kerd-grundlegung2.3.htm" w:history="1">
                    <w:r>
                      <w:rPr>
                        <w:rStyle w:val="Hiperhivatkozs"/>
                      </w:rPr>
                      <w:t>Kérdések, magyarázatok</w:t>
                    </w:r>
                  </w:hyperlink>
                </w:p>
              </w:tc>
            </w:tr>
            <w:tr w:rsidR="00000000" w14:paraId="70DC9DE5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F72FFFB" w14:textId="77777777" w:rsidR="00000000" w:rsidRDefault="00000000">
                  <w:pPr>
                    <w:pStyle w:val="Szvegtrzs"/>
                  </w:pPr>
                  <w:r>
                    <w:t>4.1.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30E69" w14:textId="77777777" w:rsidR="00000000" w:rsidRDefault="00000000">
                  <w:pPr>
                    <w:ind w:left="18"/>
                    <w:rPr>
                      <w:rStyle w:val="Hiperhivatkozs"/>
                      <w:color w:val="auto"/>
                      <w:u w:val="none"/>
                    </w:rPr>
                  </w:pPr>
                  <w:r>
                    <w:rPr>
                      <w:i/>
                    </w:rPr>
                    <w:t xml:space="preserve">Második rész </w:t>
                  </w:r>
                  <w:r>
                    <w:t xml:space="preserve">(46–70. bekezdés) – </w:t>
                  </w:r>
                  <w:hyperlink r:id="rId18" w:tooltip="http://hankovszky.tamas.btk.ppke.hu/okta/kerd-grundlegung2.4.htm" w:history="1">
                    <w:r>
                      <w:rPr>
                        <w:rStyle w:val="Hiperhivatkozs"/>
                      </w:rPr>
                      <w:t>Kérdések, magyarázatok</w:t>
                    </w:r>
                  </w:hyperlink>
                </w:p>
              </w:tc>
            </w:tr>
            <w:tr w:rsidR="00000000" w14:paraId="15885125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5AA24C88" w14:textId="77777777" w:rsidR="00000000" w:rsidRDefault="00000000">
                  <w:pPr>
                    <w:pStyle w:val="Szvegtrzs"/>
                  </w:pPr>
                  <w:r>
                    <w:t>4.8.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5EDE71" w14:textId="77777777" w:rsidR="00000000" w:rsidRDefault="00000000">
                  <w:pPr>
                    <w:ind w:left="18"/>
                    <w:rPr>
                      <w:rStyle w:val="Hiperhivatkozs"/>
                      <w:color w:val="auto"/>
                      <w:u w:val="none"/>
                    </w:rPr>
                  </w:pPr>
                  <w:r>
                    <w:rPr>
                      <w:i/>
                    </w:rPr>
                    <w:t xml:space="preserve">Második rész </w:t>
                  </w:r>
                  <w:r>
                    <w:t xml:space="preserve">(71–89. bekezdés) – </w:t>
                  </w:r>
                  <w:hyperlink r:id="rId19" w:tooltip="http://hankovszky.tamas.btk.ppke.hu/okta/kerd-grundlegung2.5.htm" w:history="1">
                    <w:r>
                      <w:rPr>
                        <w:rStyle w:val="Hiperhivatkozs"/>
                      </w:rPr>
                      <w:t>Kérdések, magyarázatok</w:t>
                    </w:r>
                  </w:hyperlink>
                </w:p>
              </w:tc>
            </w:tr>
            <w:tr w:rsidR="00000000" w14:paraId="510D258E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299DC5D8" w14:textId="77777777" w:rsidR="00000000" w:rsidRDefault="00000000">
                  <w:pPr>
                    <w:pStyle w:val="Szvegtrzs"/>
                  </w:pPr>
                  <w:r>
                    <w:t>4.15.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BBBB4C" w14:textId="77777777" w:rsidR="00000000" w:rsidRDefault="00000000">
                  <w:pPr>
                    <w:ind w:left="18"/>
                    <w:rPr>
                      <w:rStyle w:val="Hiperhivatkozs"/>
                      <w:color w:val="auto"/>
                      <w:u w:val="none"/>
                    </w:rPr>
                  </w:pPr>
                  <w:r>
                    <w:rPr>
                      <w:b/>
                      <w:bCs/>
                      <w:iCs/>
                    </w:rPr>
                    <w:t>Szünet</w:t>
                  </w:r>
                </w:p>
              </w:tc>
            </w:tr>
            <w:tr w:rsidR="00000000" w14:paraId="0D851F32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0066955A" w14:textId="77777777" w:rsidR="00000000" w:rsidRDefault="00000000">
                  <w:pPr>
                    <w:pStyle w:val="Szvegtrzs"/>
                  </w:pPr>
                  <w:r>
                    <w:t>4.22.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C4C39" w14:textId="77777777" w:rsidR="00000000" w:rsidRDefault="00000000">
                  <w:pPr>
                    <w:ind w:left="18"/>
                    <w:rPr>
                      <w:rStyle w:val="Hiperhivatkozs"/>
                      <w:color w:val="auto"/>
                      <w:u w:val="none"/>
                    </w:rPr>
                  </w:pPr>
                  <w:r>
                    <w:rPr>
                      <w:b/>
                      <w:bCs/>
                      <w:iCs/>
                    </w:rPr>
                    <w:t>Szünet</w:t>
                  </w:r>
                </w:p>
              </w:tc>
            </w:tr>
            <w:tr w:rsidR="00000000" w14:paraId="7F532C45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470A8606" w14:textId="77777777" w:rsidR="00000000" w:rsidRDefault="00000000">
                  <w:pPr>
                    <w:pStyle w:val="Szvegtrzs"/>
                  </w:pPr>
                  <w:r>
                    <w:t>4.29.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46B3E" w14:textId="77777777" w:rsidR="00000000" w:rsidRDefault="00000000">
                  <w:hyperlink r:id="rId20" w:tooltip="http://hankovszky.tamas.btk.ppke.hu/szgy/grundlegung/65-79.pdf" w:history="1">
                    <w:r>
                      <w:rPr>
                        <w:rStyle w:val="Hiperhivatkozs"/>
                        <w:i/>
                      </w:rPr>
                      <w:t>Harmadik rész</w:t>
                    </w:r>
                  </w:hyperlink>
                  <w:r>
                    <w:rPr>
                      <w:i/>
                    </w:rPr>
                    <w:t xml:space="preserve"> </w:t>
                  </w:r>
                  <w:r>
                    <w:t xml:space="preserve">(1–19. bekezdés) – </w:t>
                  </w:r>
                  <w:hyperlink r:id="rId21" w:tooltip="http://hankovszky.tamas.btk.ppke.hu/okta/kerd-grundlegung3.1.htm" w:history="1">
                    <w:r>
                      <w:rPr>
                        <w:rStyle w:val="Hiperhivatkozs"/>
                      </w:rPr>
                      <w:t>Kérdések, magyarázatok</w:t>
                    </w:r>
                  </w:hyperlink>
                </w:p>
              </w:tc>
            </w:tr>
            <w:tr w:rsidR="00000000" w14:paraId="46204CE3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34D651EC" w14:textId="77777777" w:rsidR="00000000" w:rsidRDefault="00000000">
                  <w:pPr>
                    <w:pStyle w:val="Szvegtrzs"/>
                  </w:pPr>
                  <w:r>
                    <w:t>5.6.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119225" w14:textId="77777777" w:rsidR="00000000" w:rsidRDefault="00000000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Harmadik rész </w:t>
                  </w:r>
                  <w:r>
                    <w:t>(20–35. bekezdés)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t>–</w:t>
                  </w:r>
                  <w:r>
                    <w:rPr>
                      <w:color w:val="FF0000"/>
                    </w:rPr>
                    <w:t xml:space="preserve"> </w:t>
                  </w:r>
                  <w:hyperlink r:id="rId22" w:tooltip="http://hankovszky.tamas.btk.ppke.hu/okta/kerd-grundlegung3.2.htm" w:history="1">
                    <w:r>
                      <w:rPr>
                        <w:rStyle w:val="Hiperhivatkozs"/>
                      </w:rPr>
                      <w:t>Kérdések, magyarázatok</w:t>
                    </w:r>
                  </w:hyperlink>
                </w:p>
              </w:tc>
            </w:tr>
            <w:tr w:rsidR="00000000" w14:paraId="3A43DAF0" w14:textId="77777777">
              <w:tc>
                <w:tcPr>
                  <w:tcW w:w="892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hideMark/>
                </w:tcPr>
                <w:p w14:paraId="60328A30" w14:textId="77777777" w:rsidR="00000000" w:rsidRDefault="00000000">
                  <w:pPr>
                    <w:pStyle w:val="Szvegtrzs"/>
                  </w:pPr>
                  <w:r>
                    <w:t>5.13.</w:t>
                  </w:r>
                </w:p>
              </w:tc>
              <w:tc>
                <w:tcPr>
                  <w:tcW w:w="9000" w:type="dxa"/>
                  <w:tcBorders>
                    <w:top w:val="dotted" w:sz="6" w:space="0" w:color="808080"/>
                    <w:left w:val="dotted" w:sz="6" w:space="0" w:color="808080"/>
                    <w:bottom w:val="dotted" w:sz="6" w:space="0" w:color="808080"/>
                    <w:right w:val="dotted" w:sz="6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EC3898" w14:textId="77777777" w:rsidR="00000000" w:rsidRDefault="00000000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Értékelés</w:t>
                  </w:r>
                </w:p>
              </w:tc>
            </w:tr>
          </w:tbl>
          <w:p w14:paraId="5832FA1C" w14:textId="77777777" w:rsidR="00000000" w:rsidRDefault="00000000"/>
          <w:p w14:paraId="36B1E49B" w14:textId="77777777" w:rsidR="00000000" w:rsidRDefault="00000000">
            <w:pPr>
              <w:jc w:val="both"/>
            </w:pPr>
            <w:r>
              <w:rPr>
                <w:b/>
              </w:rPr>
              <w:t>Kötelező olvasmányok</w:t>
            </w:r>
          </w:p>
          <w:p w14:paraId="619BDF61" w14:textId="77777777" w:rsidR="00000000" w:rsidRDefault="00000000">
            <w:pPr>
              <w:ind w:left="176" w:hanging="176"/>
              <w:jc w:val="both"/>
            </w:pPr>
            <w:r>
              <w:t xml:space="preserve">Kant, I.: </w:t>
            </w:r>
            <w:r>
              <w:rPr>
                <w:i/>
              </w:rPr>
              <w:t>Az erkölcsök metafizikájának alapvetése.</w:t>
            </w:r>
            <w:r>
              <w:t xml:space="preserve"> Budapest, </w:t>
            </w:r>
            <w:proofErr w:type="spellStart"/>
            <w:r>
              <w:t>Raabe</w:t>
            </w:r>
            <w:proofErr w:type="spellEnd"/>
            <w:r>
              <w:t xml:space="preserve"> </w:t>
            </w:r>
            <w:proofErr w:type="spellStart"/>
            <w:r>
              <w:t>Klett</w:t>
            </w:r>
            <w:proofErr w:type="spellEnd"/>
            <w:r>
              <w:t xml:space="preserve"> 1998. 17-79. </w:t>
            </w:r>
            <w:r>
              <w:br/>
              <w:t xml:space="preserve">(VAGY Kant: </w:t>
            </w:r>
            <w:r>
              <w:rPr>
                <w:bCs/>
                <w:i/>
              </w:rPr>
              <w:t>Az erkölcsök metafizikájának alapvetése – A gyakorlati ész kritikája – Az erkölcsök metafizikája</w:t>
            </w:r>
            <w:r>
              <w:rPr>
                <w:bCs/>
              </w:rPr>
              <w:t xml:space="preserve">. Budapest, Gondolat, 1991.) – </w:t>
            </w:r>
            <w:hyperlink r:id="rId23" w:tooltip="http://hankovszky.tamas.btk.ppke.hu/szgy/kant-grundlegung.pdf" w:history="1">
              <w:r>
                <w:rPr>
                  <w:rStyle w:val="Hiperhivatkozs"/>
                  <w:bCs/>
                </w:rPr>
                <w:t>Eredeti</w:t>
              </w:r>
            </w:hyperlink>
            <w:r>
              <w:rPr>
                <w:bCs/>
              </w:rPr>
              <w:t xml:space="preserve"> </w:t>
            </w:r>
          </w:p>
          <w:p w14:paraId="33D57A9C" w14:textId="77777777" w:rsidR="00000000" w:rsidRDefault="00000000">
            <w:pPr>
              <w:ind w:left="176" w:hanging="176"/>
              <w:jc w:val="both"/>
            </w:pPr>
            <w:r>
              <w:t xml:space="preserve">Tengelyi L.: Bevezetés és Elemző áttekintések. In Kant: </w:t>
            </w:r>
            <w:r>
              <w:rPr>
                <w:i/>
              </w:rPr>
              <w:t>Az erkölcsök metafizikájának alapvetése</w:t>
            </w:r>
            <w:r>
              <w:t xml:space="preserve">. Budapest, </w:t>
            </w:r>
            <w:proofErr w:type="spellStart"/>
            <w:r>
              <w:t>Raabe</w:t>
            </w:r>
            <w:proofErr w:type="spellEnd"/>
            <w:r>
              <w:t xml:space="preserve"> </w:t>
            </w:r>
            <w:proofErr w:type="spellStart"/>
            <w:r>
              <w:t>Klett</w:t>
            </w:r>
            <w:proofErr w:type="spellEnd"/>
            <w:r>
              <w:t xml:space="preserve">, 1998. </w:t>
            </w:r>
            <w:hyperlink r:id="rId24" w:tooltip="http://www.uni-miskolc.hu/~bolantro/esszeiras/b_txt_tengelyi_1998.html" w:history="1">
              <w:r>
                <w:rPr>
                  <w:rStyle w:val="Hiperhivatkozs"/>
                </w:rPr>
                <w:t>2–14</w:t>
              </w:r>
            </w:hyperlink>
            <w:r>
              <w:t>., 21., 30‒33., 59‒64., 77‒79.</w:t>
            </w:r>
          </w:p>
          <w:p w14:paraId="1FCD7B81" w14:textId="77777777" w:rsidR="00000000" w:rsidRDefault="00000000">
            <w:pPr>
              <w:ind w:left="176" w:hanging="176"/>
              <w:jc w:val="both"/>
            </w:pPr>
            <w:r>
              <w:t xml:space="preserve">Ross, D.: Kant etikája. Kommentár </w:t>
            </w:r>
            <w:r>
              <w:rPr>
                <w:i/>
              </w:rPr>
              <w:t>Az erkölcsök metafizikájának alapvetésé</w:t>
            </w:r>
            <w:r>
              <w:t xml:space="preserve">hez. In </w:t>
            </w:r>
            <w:r>
              <w:rPr>
                <w:i/>
              </w:rPr>
              <w:t>Gond</w:t>
            </w:r>
            <w:r>
              <w:t xml:space="preserve"> 31. (2002) (VAGY </w:t>
            </w:r>
            <w:r>
              <w:rPr>
                <w:bCs/>
              </w:rPr>
              <w:t>Ross</w:t>
            </w:r>
            <w:r>
              <w:t xml:space="preserve">: </w:t>
            </w:r>
            <w:hyperlink r:id="rId25" w:tooltip="http://hankovszky.tamas.btk.ppke.hu/szgy/ross.pdf" w:history="1">
              <w:r>
                <w:rPr>
                  <w:rStyle w:val="Hiperhivatkozs"/>
                  <w:bCs/>
                  <w:i/>
                </w:rPr>
                <w:t>Kant etikája</w:t>
              </w:r>
            </w:hyperlink>
            <w:r>
              <w:t>. Budapest, Gond-</w:t>
            </w:r>
            <w:proofErr w:type="spellStart"/>
            <w:r>
              <w:t>Cura</w:t>
            </w:r>
            <w:proofErr w:type="spellEnd"/>
            <w:r>
              <w:t xml:space="preserve"> Alapítvány, 2005.)</w:t>
            </w:r>
          </w:p>
          <w:p w14:paraId="2907CC9F" w14:textId="77777777" w:rsidR="00000000" w:rsidRDefault="00000000">
            <w:pPr>
              <w:jc w:val="both"/>
            </w:pPr>
          </w:p>
          <w:p w14:paraId="2B41B18D" w14:textId="77777777" w:rsidR="00000000" w:rsidRDefault="00000000">
            <w:pPr>
              <w:jc w:val="both"/>
            </w:pPr>
            <w:r>
              <w:rPr>
                <w:b/>
                <w:bCs/>
              </w:rPr>
              <w:t>Ajánlott olvasmányok</w:t>
            </w:r>
          </w:p>
          <w:p w14:paraId="12453422" w14:textId="77777777" w:rsidR="00000000" w:rsidRDefault="00000000">
            <w:pPr>
              <w:ind w:left="176" w:hanging="176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Korsgaard, Ch. M.: </w:t>
            </w:r>
            <w:hyperlink r:id="rId26" w:tooltip="http://dash.harvard.edu/bitstream/handle/1/3201869/Korsgaard_KantForumulaUniversalLaw.pdf?sequence=2" w:history="1">
              <w:r>
                <w:rPr>
                  <w:rStyle w:val="Hiperhivatkozs"/>
                  <w:lang w:val="en-GB"/>
                </w:rPr>
                <w:t>Kant's formula of universal law</w:t>
              </w:r>
            </w:hyperlink>
            <w:r>
              <w:rPr>
                <w:lang w:val="en-GB"/>
              </w:rPr>
              <w:t xml:space="preserve">. In </w:t>
            </w:r>
            <w:r>
              <w:rPr>
                <w:i/>
                <w:lang w:val="en-GB"/>
              </w:rPr>
              <w:t>Pacific Philosophical Quarterly</w:t>
            </w:r>
            <w:r>
              <w:rPr>
                <w:lang w:val="en-GB"/>
              </w:rPr>
              <w:t xml:space="preserve"> 1985. 1-2: 24-47.</w:t>
            </w:r>
          </w:p>
          <w:p w14:paraId="03EDC1E4" w14:textId="77777777" w:rsidR="00000000" w:rsidRDefault="00000000">
            <w:pPr>
              <w:ind w:left="176" w:hanging="176"/>
              <w:jc w:val="both"/>
            </w:pPr>
            <w:r>
              <w:rPr>
                <w:bCs/>
              </w:rPr>
              <w:t xml:space="preserve">Horn, </w:t>
            </w:r>
            <w:proofErr w:type="spellStart"/>
            <w:r>
              <w:rPr>
                <w:bCs/>
              </w:rPr>
              <w:t>Ch</w:t>
            </w:r>
            <w:proofErr w:type="spellEnd"/>
            <w:r>
              <w:rPr>
                <w:bCs/>
              </w:rPr>
              <w:t xml:space="preserve">. – C. </w:t>
            </w:r>
            <w:proofErr w:type="spellStart"/>
            <w:r>
              <w:rPr>
                <w:bCs/>
              </w:rPr>
              <w:t>Mieth</w:t>
            </w:r>
            <w:proofErr w:type="spellEnd"/>
            <w:r>
              <w:rPr>
                <w:bCs/>
              </w:rPr>
              <w:t xml:space="preserve"> – N. </w:t>
            </w:r>
            <w:proofErr w:type="spellStart"/>
            <w:r>
              <w:rPr>
                <w:bCs/>
              </w:rPr>
              <w:t>Scarano</w:t>
            </w:r>
            <w:proofErr w:type="spellEnd"/>
            <w:r>
              <w:rPr>
                <w:bCs/>
              </w:rPr>
              <w:t xml:space="preserve">: </w:t>
            </w:r>
            <w:r>
              <w:rPr>
                <w:bCs/>
                <w:i/>
              </w:rPr>
              <w:t xml:space="preserve">Immanuel Kant. </w:t>
            </w:r>
            <w:proofErr w:type="spellStart"/>
            <w:r>
              <w:rPr>
                <w:bCs/>
                <w:i/>
              </w:rPr>
              <w:t>Grundlegung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zur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Metaphysik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der</w:t>
            </w:r>
            <w:proofErr w:type="spellEnd"/>
            <w:r>
              <w:rPr>
                <w:bCs/>
                <w:i/>
              </w:rPr>
              <w:t xml:space="preserve"> Sitten. </w:t>
            </w:r>
            <w:proofErr w:type="spellStart"/>
            <w:r>
              <w:rPr>
                <w:bCs/>
                <w:i/>
              </w:rPr>
              <w:t>Kommentar</w:t>
            </w:r>
            <w:proofErr w:type="spellEnd"/>
            <w:r>
              <w:rPr>
                <w:bCs/>
              </w:rPr>
              <w:t xml:space="preserve">. Frankfurt, M., </w:t>
            </w:r>
            <w:proofErr w:type="spellStart"/>
            <w:r>
              <w:rPr>
                <w:bCs/>
              </w:rPr>
              <w:t>Suhrkamp</w:t>
            </w:r>
            <w:proofErr w:type="spellEnd"/>
            <w:r>
              <w:rPr>
                <w:bCs/>
              </w:rPr>
              <w:t>, 2007</w:t>
            </w:r>
          </w:p>
          <w:p w14:paraId="5333EA85" w14:textId="77777777" w:rsidR="00000000" w:rsidRDefault="00000000">
            <w:pPr>
              <w:ind w:left="176" w:hanging="176"/>
              <w:jc w:val="both"/>
            </w:pPr>
            <w:proofErr w:type="spellStart"/>
            <w:r>
              <w:t>Droschel</w:t>
            </w:r>
            <w:proofErr w:type="spellEnd"/>
            <w:r>
              <w:t xml:space="preserve">, A.: </w:t>
            </w:r>
            <w:hyperlink r:id="rId27" w:tooltip="https://philarchive.org/archive/DORAMK" w:history="1">
              <w:r>
                <w:rPr>
                  <w:rStyle w:val="Hiperhivatkozs"/>
                </w:rPr>
                <w:t>A morál költségei</w:t>
              </w:r>
            </w:hyperlink>
            <w:r>
              <w:t xml:space="preserve"> – Kant nyomán számolva. In </w:t>
            </w:r>
            <w:r>
              <w:rPr>
                <w:i/>
              </w:rPr>
              <w:t>Magyar Filozófiai Szemle,</w:t>
            </w:r>
            <w:r>
              <w:t xml:space="preserve"> 1991. 4–6. 778–708. </w:t>
            </w:r>
          </w:p>
          <w:p w14:paraId="09B8CDFB" w14:textId="77777777" w:rsidR="00000000" w:rsidRDefault="00000000">
            <w:pPr>
              <w:ind w:left="176" w:hanging="176"/>
              <w:jc w:val="both"/>
            </w:pPr>
            <w:r>
              <w:t xml:space="preserve">Tengelyi L.: </w:t>
            </w:r>
            <w:hyperlink r:id="rId28" w:tooltip="https://adt.arcanum.com/hu/view/Medvetanc_1984_4-1985_1_melleklet/?pg=0&amp;layout=s" w:history="1">
              <w:r>
                <w:rPr>
                  <w:rStyle w:val="Hiperhivatkozs"/>
                </w:rPr>
                <w:t>Autonómia és világrend.</w:t>
              </w:r>
            </w:hyperlink>
            <w:r>
              <w:t xml:space="preserve"> Kant az etika fundamentumáról. In </w:t>
            </w:r>
            <w:r>
              <w:rPr>
                <w:i/>
              </w:rPr>
              <w:t xml:space="preserve">Medvetánc </w:t>
            </w:r>
            <w:r>
              <w:t xml:space="preserve">1984. 4. </w:t>
            </w:r>
            <w:hyperlink r:id="rId29" w:tooltip="https://www.atlantiszkiado.hu/medvetanc/Medvetanc_1984_4-1985_1_melleklet.pdf" w:history="1">
              <w:r>
                <w:rPr>
                  <w:rStyle w:val="Hiperhivatkozs"/>
                </w:rPr>
                <w:t>Melléklet</w:t>
              </w:r>
            </w:hyperlink>
            <w:r>
              <w:t xml:space="preserve">. </w:t>
            </w:r>
          </w:p>
          <w:p w14:paraId="11C2CB9C" w14:textId="77777777" w:rsidR="00000000" w:rsidRDefault="00000000">
            <w:pPr>
              <w:ind w:left="176" w:hanging="176"/>
              <w:jc w:val="both"/>
            </w:pPr>
            <w:proofErr w:type="spellStart"/>
            <w:r>
              <w:t>Röd</w:t>
            </w:r>
            <w:proofErr w:type="spellEnd"/>
            <w:r>
              <w:t xml:space="preserve">, W.: </w:t>
            </w:r>
            <w:r>
              <w:rPr>
                <w:i/>
              </w:rPr>
              <w:t>Bevezetés a kritikai filozófiába. Kant filozófiájának főbb problémái.</w:t>
            </w:r>
            <w:r>
              <w:t xml:space="preserve"> Debrecen, Csokonai, 1998. </w:t>
            </w:r>
            <w:hyperlink r:id="rId30" w:tooltip="http://filozofia.uni-miskolc.hu/wp-content/uploads/2018/09/KantRod3Etika.pdf" w:history="1">
              <w:r>
                <w:rPr>
                  <w:rStyle w:val="Hiperhivatkozs"/>
                </w:rPr>
                <w:t>116–179</w:t>
              </w:r>
            </w:hyperlink>
            <w:r>
              <w:t>.</w:t>
            </w:r>
          </w:p>
          <w:p w14:paraId="7909E6B3" w14:textId="77777777" w:rsidR="00000000" w:rsidRDefault="00000000">
            <w:pPr>
              <w:ind w:left="176" w:hanging="176"/>
              <w:jc w:val="both"/>
            </w:pPr>
            <w:r>
              <w:t xml:space="preserve">Heller Á.: </w:t>
            </w:r>
            <w:hyperlink r:id="rId31" w:tooltip="https://www.szaktars.hu/titgondolat/view/heller-agnes-portrevazlatok-az-etika-tortenetebol-1976/?pg=215&amp;layout=s" w:history="1">
              <w:r>
                <w:rPr>
                  <w:rStyle w:val="Hiperhivatkozs"/>
                </w:rPr>
                <w:t>Kant etikái</w:t>
              </w:r>
            </w:hyperlink>
            <w:r>
              <w:t xml:space="preserve">. In </w:t>
            </w:r>
            <w:proofErr w:type="spellStart"/>
            <w:r>
              <w:t>U.ő</w:t>
            </w:r>
            <w:proofErr w:type="spellEnd"/>
            <w:r>
              <w:t xml:space="preserve">: </w:t>
            </w:r>
            <w:r>
              <w:rPr>
                <w:i/>
              </w:rPr>
              <w:t>Portrévázlatok az etika történetéből.</w:t>
            </w:r>
            <w:r>
              <w:t xml:space="preserve"> Budapest, Gondolat, 212–288.</w:t>
            </w:r>
          </w:p>
          <w:p w14:paraId="0BE468BA" w14:textId="77777777" w:rsidR="00000000" w:rsidRDefault="00000000">
            <w:pPr>
              <w:ind w:left="176" w:hanging="176"/>
              <w:jc w:val="both"/>
            </w:pPr>
            <w:proofErr w:type="spellStart"/>
            <w:r>
              <w:t>Málnási</w:t>
            </w:r>
            <w:proofErr w:type="spellEnd"/>
            <w:r>
              <w:t xml:space="preserve"> Bartók </w:t>
            </w:r>
            <w:proofErr w:type="spellStart"/>
            <w:r>
              <w:t>Gy</w:t>
            </w:r>
            <w:proofErr w:type="spellEnd"/>
            <w:r>
              <w:t xml:space="preserve">.: </w:t>
            </w:r>
            <w:hyperlink r:id="rId32" w:history="1">
              <w:r>
                <w:rPr>
                  <w:rStyle w:val="Hiperhivatkozs"/>
                  <w:i/>
                </w:rPr>
                <w:t>Kant etikája és a német idealizmus erkölcsbölcselete</w:t>
              </w:r>
            </w:hyperlink>
            <w:r>
              <w:t>. Hága, Mikes International, 2006.</w:t>
            </w:r>
          </w:p>
          <w:p w14:paraId="5492593F" w14:textId="77777777" w:rsidR="00000000" w:rsidRDefault="00000000">
            <w:pPr>
              <w:ind w:left="176" w:hanging="176"/>
              <w:jc w:val="both"/>
            </w:pPr>
            <w:proofErr w:type="spellStart"/>
            <w:r>
              <w:t>Nemo</w:t>
            </w:r>
            <w:proofErr w:type="spellEnd"/>
            <w:r>
              <w:t xml:space="preserve">, </w:t>
            </w:r>
            <w:proofErr w:type="spellStart"/>
            <w:r>
              <w:t>Ph</w:t>
            </w:r>
            <w:proofErr w:type="spellEnd"/>
            <w:r>
              <w:t xml:space="preserve">.: Az arc mezítelensége. Beszélgetés Emmanuel </w:t>
            </w:r>
            <w:proofErr w:type="spellStart"/>
            <w:r>
              <w:t>Lévinasszal</w:t>
            </w:r>
            <w:proofErr w:type="spellEnd"/>
            <w:r>
              <w:t xml:space="preserve">. In </w:t>
            </w:r>
            <w:r>
              <w:rPr>
                <w:i/>
              </w:rPr>
              <w:t>Műhely</w:t>
            </w:r>
            <w:r>
              <w:t xml:space="preserve"> 1994. 1. 4-8.</w:t>
            </w:r>
          </w:p>
          <w:p w14:paraId="0D76B023" w14:textId="77777777" w:rsidR="00000000" w:rsidRDefault="00000000">
            <w:pPr>
              <w:ind w:left="176" w:hanging="176"/>
              <w:jc w:val="both"/>
            </w:pPr>
            <w:r>
              <w:t xml:space="preserve">Szegedi Nóra: </w:t>
            </w:r>
            <w:hyperlink r:id="rId33" w:tooltip="https://real.mtak.hu/144195/1/113_Szegedi.pdf" w:history="1">
              <w:r>
                <w:rPr>
                  <w:rStyle w:val="Hiperhivatkozs"/>
                </w:rPr>
                <w:t>Az autonómia etikája és a morálfilozófia autonómiája</w:t>
              </w:r>
            </w:hyperlink>
            <w:r>
              <w:t xml:space="preserve">. Kant számvetése. Baumgartennel és </w:t>
            </w:r>
            <w:proofErr w:type="spellStart"/>
            <w:r>
              <w:t>Crusiusszal</w:t>
            </w:r>
            <w:proofErr w:type="spellEnd"/>
            <w:r>
              <w:t xml:space="preserve">. In: </w:t>
            </w:r>
            <w:r>
              <w:rPr>
                <w:i/>
                <w:iCs/>
              </w:rPr>
              <w:t xml:space="preserve">Tudomány és megértés. </w:t>
            </w:r>
            <w:proofErr w:type="spellStart"/>
            <w:r>
              <w:rPr>
                <w:i/>
                <w:iCs/>
              </w:rPr>
              <w:t>Schwendtner</w:t>
            </w:r>
            <w:proofErr w:type="spellEnd"/>
            <w:r>
              <w:rPr>
                <w:i/>
                <w:iCs/>
              </w:rPr>
              <w:t xml:space="preserve"> Tibor 60. születésnapjára</w:t>
            </w:r>
            <w:r>
              <w:t xml:space="preserve">. Eger, Eszterházy Károly Katolikus Egyetem Líceum Kiadó. 2022. 113-124. </w:t>
            </w:r>
          </w:p>
          <w:p w14:paraId="1D4FF7EC" w14:textId="77777777" w:rsidR="00000000" w:rsidRDefault="00000000">
            <w:pPr>
              <w:ind w:left="176" w:hanging="176"/>
              <w:jc w:val="both"/>
            </w:pPr>
            <w:r>
              <w:t xml:space="preserve">Szegedi Nóra: </w:t>
            </w:r>
            <w:hyperlink r:id="rId34" w:tooltip="http://filozofiaiszemle.net/wp-content/uploads/2017/01/Szegedi-N%C3%B3ra-A-szabads%C3%A1g-mint-auton%C3%B3mia-Kant.pdf" w:history="1">
              <w:r>
                <w:rPr>
                  <w:rStyle w:val="Hiperhivatkozs"/>
                </w:rPr>
                <w:t>A szabadság mint autonómia: Kant</w:t>
              </w:r>
            </w:hyperlink>
            <w:r>
              <w:t xml:space="preserve">. In </w:t>
            </w:r>
            <w:r>
              <w:rPr>
                <w:i/>
                <w:iCs/>
              </w:rPr>
              <w:t>Magyar Filozófiai Szemle</w:t>
            </w:r>
            <w:r>
              <w:t>60 (2016) 2. 100-128.</w:t>
            </w:r>
          </w:p>
          <w:p w14:paraId="1FE6DDF8" w14:textId="77777777" w:rsidR="00000000" w:rsidRDefault="00000000">
            <w:pPr>
              <w:ind w:left="176" w:hanging="176"/>
              <w:rPr>
                <w:rFonts w:ascii="Tahoma" w:hAnsi="Tahoma" w:cs="Tahoma"/>
              </w:rPr>
            </w:pPr>
          </w:p>
        </w:tc>
      </w:tr>
    </w:tbl>
    <w:p w14:paraId="4848C95C" w14:textId="77777777" w:rsidR="00D31C1D" w:rsidRDefault="00D31C1D"/>
    <w:sectPr w:rsidR="00D31C1D">
      <w:pgSz w:w="11906" w:h="16838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A516" w14:textId="77777777" w:rsidR="00D31C1D" w:rsidRDefault="00D31C1D">
      <w:r>
        <w:separator/>
      </w:r>
    </w:p>
  </w:endnote>
  <w:endnote w:type="continuationSeparator" w:id="0">
    <w:p w14:paraId="65E51F93" w14:textId="77777777" w:rsidR="00D31C1D" w:rsidRDefault="00D3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DD4BC" w14:textId="77777777" w:rsidR="00D31C1D" w:rsidRDefault="00D31C1D">
      <w:r>
        <w:separator/>
      </w:r>
    </w:p>
  </w:footnote>
  <w:footnote w:type="continuationSeparator" w:id="0">
    <w:p w14:paraId="328E88F2" w14:textId="77777777" w:rsidR="00D31C1D" w:rsidRDefault="00D3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7995"/>
    <w:multiLevelType w:val="multilevel"/>
    <w:tmpl w:val="170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C23387"/>
    <w:multiLevelType w:val="multilevel"/>
    <w:tmpl w:val="022E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6399537">
    <w:abstractNumId w:val="1"/>
  </w:num>
  <w:num w:numId="2" w16cid:durableId="1240867899">
    <w:abstractNumId w:val="0"/>
  </w:num>
  <w:num w:numId="3" w16cid:durableId="4144054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isplayBackgroundShape/>
  <w:proofState w:spelling="clean" w:grammar="clean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06"/>
    <w:rsid w:val="002E7786"/>
    <w:rsid w:val="00326906"/>
    <w:rsid w:val="005C59F7"/>
    <w:rsid w:val="005D221E"/>
    <w:rsid w:val="0069202E"/>
    <w:rsid w:val="00776D08"/>
    <w:rsid w:val="00A95419"/>
    <w:rsid w:val="00D31C1D"/>
    <w:rsid w:val="00D84722"/>
    <w:rsid w:val="00F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FFE63"/>
  <w15:chartTrackingRefBased/>
  <w15:docId w15:val="{C8A2F207-5EB6-411A-AF23-2338DBAB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Pr>
      <w:color w:val="800080"/>
      <w:u w:val="single"/>
    </w:rPr>
  </w:style>
  <w:style w:type="character" w:customStyle="1" w:styleId="Cmsor1Char">
    <w:name w:val="Címsor 1 Char"/>
    <w:basedOn w:val="Bekezdsalapbettpusa"/>
    <w:link w:val="Cmsor1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eastAsiaTheme="minorEastAsia"/>
    </w:rPr>
  </w:style>
  <w:style w:type="paragraph" w:styleId="lfej">
    <w:name w:val="header"/>
    <w:basedOn w:val="Norml"/>
    <w:link w:val="lfejChar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locked/>
    <w:rPr>
      <w:sz w:val="24"/>
      <w:szCs w:val="24"/>
    </w:rPr>
  </w:style>
  <w:style w:type="paragraph" w:styleId="llb">
    <w:name w:val="footer"/>
    <w:basedOn w:val="Norml"/>
    <w:link w:val="llbChar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locked/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locked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Pr>
      <w:rFonts w:ascii="Tahoma" w:hAnsi="Tahoma" w:cs="Tahoma" w:hint="default"/>
      <w:sz w:val="16"/>
      <w:szCs w:val="16"/>
    </w:rPr>
  </w:style>
  <w:style w:type="paragraph" w:customStyle="1" w:styleId="western">
    <w:name w:val="western"/>
    <w:basedOn w:val="Norml"/>
    <w:semiHidden/>
  </w:style>
  <w:style w:type="character" w:customStyle="1" w:styleId="keretesures-alcim121">
    <w:name w:val="keretesures-alcim121"/>
    <w:basedOn w:val="Bekezdsalapbettpusa"/>
  </w:style>
  <w:style w:type="table" w:styleId="Rcsostblzat">
    <w:name w:val="Table Grid"/>
    <w:basedOn w:val="Normltblzat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kovszky.tamas.btk.ppke.hu/okta/kerd-grundlegung1.2.htm" TargetMode="External"/><Relationship Id="rId18" Type="http://schemas.openxmlformats.org/officeDocument/2006/relationships/hyperlink" Target="http://hankovszky.tamas.btk.ppke.hu/okta/kerd-grundlegung2.4.htm" TargetMode="External"/><Relationship Id="rId26" Type="http://schemas.openxmlformats.org/officeDocument/2006/relationships/hyperlink" Target="http://dash.harvard.edu/bitstream/handle/1/3201869/Korsgaard_KantForumulaUniversalLaw.pdf?sequence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ankovszky.tamas.btk.ppke.hu/okta/kerd-grundlegung3.1.htm" TargetMode="External"/><Relationship Id="rId34" Type="http://schemas.openxmlformats.org/officeDocument/2006/relationships/hyperlink" Target="http://filozofiaiszemle.net/wp-content/uploads/2017/01/Szegedi-N%C3%B3ra-A-szabads%C3%A1g-mint-auton%C3%B3mia-Kant.pdf" TargetMode="External"/><Relationship Id="rId7" Type="http://schemas.openxmlformats.org/officeDocument/2006/relationships/hyperlink" Target="mailto:hankovszky@btk.ppke.hu" TargetMode="External"/><Relationship Id="rId12" Type="http://schemas.openxmlformats.org/officeDocument/2006/relationships/hyperlink" Target="http://hankovszky.tamas.btk.ppke.hu/okta/kerd-grundlegung1.1.htm" TargetMode="External"/><Relationship Id="rId17" Type="http://schemas.openxmlformats.org/officeDocument/2006/relationships/hyperlink" Target="http://hankovszky.tamas.btk.ppke.hu/okta/kerd-grundlegung2.3.htm" TargetMode="External"/><Relationship Id="rId25" Type="http://schemas.openxmlformats.org/officeDocument/2006/relationships/hyperlink" Target="http://hankovszky.tamas.btk.ppke.hu/szgy/ross.pdf" TargetMode="External"/><Relationship Id="rId33" Type="http://schemas.openxmlformats.org/officeDocument/2006/relationships/hyperlink" Target="https://real.mtak.hu/144195/1/113_Szeged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hankovszky.tamas.btk.ppke.hu/okta/kerd-grundlegung2.2.htm" TargetMode="External"/><Relationship Id="rId20" Type="http://schemas.openxmlformats.org/officeDocument/2006/relationships/hyperlink" Target="http://hankovszky.tamas.btk.ppke.hu/szgy/grundlegung/65-79.pdf" TargetMode="External"/><Relationship Id="rId29" Type="http://schemas.openxmlformats.org/officeDocument/2006/relationships/hyperlink" Target="https://www.atlantiszkiado.hu/medvetanc/Medvetanc_1984_4-1985_1_mellekle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kovszky.tamas.btk.ppke.hu/szgy/grundlegung/22-33k.pdf" TargetMode="External"/><Relationship Id="rId24" Type="http://schemas.openxmlformats.org/officeDocument/2006/relationships/hyperlink" Target="http://www.uni-miskolc.hu/~bolantro/esszeiras/b_txt_tengelyi_1998.html" TargetMode="External"/><Relationship Id="rId32" Type="http://schemas.openxmlformats.org/officeDocument/2006/relationships/hyperlink" Target="http://mek.oszk.hu/03600/03603/index.p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ankovszky.tamas.btk.ppke.hu/okta/kerd-grundlegung2.1.htm" TargetMode="External"/><Relationship Id="rId23" Type="http://schemas.openxmlformats.org/officeDocument/2006/relationships/hyperlink" Target="http://hankovszky.tamas.btk.ppke.hu/szgy/kant-grundlegung.pdf" TargetMode="External"/><Relationship Id="rId28" Type="http://schemas.openxmlformats.org/officeDocument/2006/relationships/hyperlink" Target="https://adt.arcanum.com/hu/view/Medvetanc_1984_4-1985_1_melleklet/?pg=0&amp;layout=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hankovszky.tamas.btk.ppke.hu/okta/kerd-grundlegung0.htm" TargetMode="External"/><Relationship Id="rId19" Type="http://schemas.openxmlformats.org/officeDocument/2006/relationships/hyperlink" Target="http://hankovszky.tamas.btk.ppke.hu/okta/kerd-grundlegung2.5.htm" TargetMode="External"/><Relationship Id="rId31" Type="http://schemas.openxmlformats.org/officeDocument/2006/relationships/hyperlink" Target="https://www.szaktars.hu/titgondolat/view/heller-agnes-portrevazlatok-az-etika-tortenetebol-1976/?pg=215&amp;layout=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nkovszky.tamas.btk.ppke.hu/szgy/grundlegung/16-21k.pdf" TargetMode="External"/><Relationship Id="rId14" Type="http://schemas.openxmlformats.org/officeDocument/2006/relationships/hyperlink" Target="http://hankovszky.tamas.btk.ppke.hu/szgy/grundlegung/34-64.pdf" TargetMode="External"/><Relationship Id="rId22" Type="http://schemas.openxmlformats.org/officeDocument/2006/relationships/hyperlink" Target="http://hankovszky.tamas.btk.ppke.hu/okta/kerd-grundlegung3.2.htm" TargetMode="External"/><Relationship Id="rId27" Type="http://schemas.openxmlformats.org/officeDocument/2006/relationships/hyperlink" Target="https://philarchive.org/archive/DORAMK" TargetMode="External"/><Relationship Id="rId30" Type="http://schemas.openxmlformats.org/officeDocument/2006/relationships/hyperlink" Target="http://filozofia.uni-miskolc.hu/wp-content/uploads/2018/09/KantRod3Etika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hankovszky@btk.ppke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1585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Hankovszky Tamás</vt:lpstr>
    </vt:vector>
  </TitlesOfParts>
  <Company>Microsoft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Hankovszky Tamás</dc:title>
  <dc:subject/>
  <dc:creator>Hankovszky Tamás</dc:creator>
  <cp:keywords/>
  <dc:description/>
  <cp:lastModifiedBy>Hankovszky Tamás</cp:lastModifiedBy>
  <cp:revision>3</cp:revision>
  <dcterms:created xsi:type="dcterms:W3CDTF">2025-01-20T12:55:00Z</dcterms:created>
  <dcterms:modified xsi:type="dcterms:W3CDTF">2025-01-20T12:55:00Z</dcterms:modified>
</cp:coreProperties>
</file>