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9781"/>
      </w:tblGrid>
      <w:tr w:rsidR="00000000" w14:paraId="50F20132" w14:textId="7777777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6D77443" w14:textId="77777777" w:rsidR="00000000" w:rsidRDefault="00000000">
            <w:pPr>
              <w:jc w:val="center"/>
            </w:pPr>
            <w:r>
              <w:t xml:space="preserve">Kortárs problémák, klasszikus német szerzők </w:t>
            </w:r>
          </w:p>
          <w:p w14:paraId="6293E6E9" w14:textId="77777777" w:rsidR="00000000" w:rsidRDefault="00000000">
            <w:pPr>
              <w:jc w:val="center"/>
            </w:pPr>
            <w:r>
              <w:rPr>
                <w:b/>
                <w:bCs/>
              </w:rPr>
              <w:t>Fichte: Az ember rendeltetése</w:t>
            </w:r>
          </w:p>
          <w:p w14:paraId="5F0E57CD" w14:textId="77777777" w:rsidR="00000000" w:rsidRDefault="00000000">
            <w:pPr>
              <w:jc w:val="center"/>
            </w:pPr>
            <w:r>
              <w:t>Szövegolvasó szeminárium, BMNSF09800M</w:t>
            </w:r>
          </w:p>
          <w:p w14:paraId="444B4789" w14:textId="77777777" w:rsidR="00000000" w:rsidRDefault="00000000">
            <w:pPr>
              <w:jc w:val="center"/>
            </w:pPr>
            <w:r>
              <w:t>2025. tavasz</w:t>
            </w:r>
          </w:p>
          <w:p w14:paraId="17043A79" w14:textId="77777777" w:rsidR="00000000" w:rsidRDefault="00000000">
            <w:pPr>
              <w:jc w:val="center"/>
            </w:pPr>
          </w:p>
          <w:p w14:paraId="1843F66C" w14:textId="77777777" w:rsidR="00000000" w:rsidRDefault="00000000">
            <w:pPr>
              <w:jc w:val="center"/>
            </w:pPr>
            <w:r>
              <w:rPr>
                <w:b/>
                <w:bCs/>
              </w:rPr>
              <w:t xml:space="preserve">KURZUSLEÍRÁS </w:t>
            </w:r>
          </w:p>
          <w:p w14:paraId="02514523" w14:textId="77777777" w:rsidR="00000000" w:rsidRDefault="00000000">
            <w:pPr>
              <w:jc w:val="both"/>
            </w:pPr>
          </w:p>
          <w:p w14:paraId="02D5F02A" w14:textId="77777777" w:rsidR="00000000" w:rsidRDefault="00000000">
            <w:pPr>
              <w:jc w:val="both"/>
            </w:pPr>
            <w:r>
              <w:t xml:space="preserve">Ebben a félévben Fichte pályája fordulópontján népszerű stílusban megírt összegző filozófiai művét olvassuk, amely az idealista ismeretelmélettől a gyakorlati filozófiáig ível. „Jelen írásnak azt kell tartalmaznia, ami az újabb filozófiából használható az iskolai bölcselkedésen kívül is, olyan rendben előadva, ahogy a pallérozatlan elmélkedés előtt fel kell táruljon. … Könyvem tehát nem a hivatásos filozófusoknak szól, s ezek semmit sem fognak benne találni, amit a szerző ne adott volna már elő más írásaiban. Minden olvasó számára érthetőnek kell lennie, aki egyáltalán képes egy könyvet megérteni.” (Részlet a mű </w:t>
            </w:r>
            <w:proofErr w:type="spellStart"/>
            <w:r>
              <w:t>előszavából</w:t>
            </w:r>
            <w:proofErr w:type="spellEnd"/>
            <w:r>
              <w:t>)</w:t>
            </w:r>
          </w:p>
          <w:p w14:paraId="646B2152" w14:textId="77777777" w:rsidR="00000000" w:rsidRDefault="00000000">
            <w:pPr>
              <w:jc w:val="both"/>
            </w:pPr>
          </w:p>
          <w:p w14:paraId="7CEA421D" w14:textId="77777777" w:rsidR="00000000" w:rsidRDefault="00000000">
            <w:pPr>
              <w:jc w:val="both"/>
            </w:pPr>
            <w:r>
              <w:rPr>
                <w:b/>
                <w:bCs/>
              </w:rPr>
              <w:t>Oktató</w:t>
            </w:r>
            <w:r>
              <w:t>: Hankovszky Tamás (</w:t>
            </w:r>
            <w:hyperlink r:id="rId7" w:history="1">
              <w:r>
                <w:rPr>
                  <w:rStyle w:val="Hiperhivatkozs"/>
                </w:rPr>
                <w:t>hankovszky@btk.ppke.hu</w:t>
              </w:r>
            </w:hyperlink>
            <w:r>
              <w:t>)</w:t>
            </w:r>
          </w:p>
          <w:p w14:paraId="41F74A59" w14:textId="77777777" w:rsidR="00000000" w:rsidRDefault="00000000">
            <w:pPr>
              <w:jc w:val="both"/>
            </w:pPr>
            <w:r>
              <w:rPr>
                <w:b/>
                <w:bCs/>
              </w:rPr>
              <w:t>Időpont</w:t>
            </w:r>
            <w:r>
              <w:t xml:space="preserve">: csütörtök 14.30–16.00 </w:t>
            </w:r>
          </w:p>
          <w:p w14:paraId="46EBFCE4" w14:textId="77777777" w:rsidR="00000000" w:rsidRDefault="00000000">
            <w:r>
              <w:rPr>
                <w:b/>
                <w:bCs/>
              </w:rPr>
              <w:t>Hely</w:t>
            </w:r>
            <w:r>
              <w:t>: 414</w:t>
            </w:r>
          </w:p>
          <w:p w14:paraId="66519862" w14:textId="77777777" w:rsidR="00000000" w:rsidRDefault="00000000"/>
          <w:p w14:paraId="634FD478" w14:textId="77777777" w:rsidR="00000000" w:rsidRDefault="00000000">
            <w:pPr>
              <w:pStyle w:val="Szvegtrzs"/>
            </w:pPr>
            <w:r>
              <w:rPr>
                <w:b/>
                <w:bCs/>
              </w:rPr>
              <w:t>Munkamódszer</w:t>
            </w:r>
          </w:p>
          <w:p w14:paraId="0896FCE1" w14:textId="1BF5C7DB" w:rsidR="00000000" w:rsidRDefault="00000000">
            <w:pPr>
              <w:jc w:val="both"/>
            </w:pPr>
            <w:r>
              <w:t>A szeminárium a hallgatók otthoni és órai aktivitására épülő oktatási forma. Az órák a résztvevők tanári irányítással folyó beszélgetéseként valósulnak meg</w:t>
            </w:r>
            <w:r w:rsidR="0071247A">
              <w:t>, így a foglalkozások látogatása, a csapatmunka és a hétről-hétre való készülés elengedhetetlen</w:t>
            </w:r>
            <w:r>
              <w:t xml:space="preserve">. Így a foglalkozások látogatása, a csapatmunka és a hétről-hétre való készülés elengedhetetlen. </w:t>
            </w:r>
            <w:r w:rsidR="0071247A">
              <w:t xml:space="preserve">Minden órát azzal kezdünk, hogy a kijelölt szöveg gondolati egységeit elkülönítjük egymástól, és minden egységgel kapcsolatban megpróbálunk válaszolni három alapvető kérdésre. 1. Miről szól (mi lehetne a címe)? 2. Mit állít azzal kapcsolatban, amiről szól? 3. Miért fontos ez az állítás a szöveg által megvalósítani kívánt projekt szempontjából? Ezért az órára való készülés terjedjen ki a szöveg tagolására és e kérdések megválaszolására. A foglalkozásra a kijelölt szöveget mindenki </w:t>
            </w:r>
            <w:r w:rsidR="0071247A">
              <w:rPr>
                <w:i/>
                <w:iCs/>
              </w:rPr>
              <w:t>kinyomtatva</w:t>
            </w:r>
            <w:r w:rsidR="0071247A">
              <w:t xml:space="preserve"> hozza magával, és előzetesen jelölje be benne a gondolati egységek határát</w:t>
            </w:r>
            <w:r w:rsidR="0071247A">
              <w:t>, és adjon nekik címet</w:t>
            </w:r>
            <w:r w:rsidR="0071247A">
              <w:t>! Telefonon, tableten hozott szöveg nem megfelelő.</w:t>
            </w:r>
          </w:p>
          <w:p w14:paraId="236FEBD4" w14:textId="77777777" w:rsidR="00000000" w:rsidRDefault="00000000"/>
          <w:p w14:paraId="17B6DE50" w14:textId="77777777" w:rsidR="00000000" w:rsidRDefault="00000000">
            <w:pPr>
              <w:jc w:val="both"/>
            </w:pPr>
            <w:r>
              <w:rPr>
                <w:b/>
                <w:bCs/>
              </w:rPr>
              <w:t>Követelmények</w:t>
            </w:r>
          </w:p>
          <w:p w14:paraId="5D7B62AD" w14:textId="3F00E0BE" w:rsidR="00000000" w:rsidRDefault="00000000">
            <w:pPr>
              <w:jc w:val="both"/>
            </w:pPr>
            <w:r>
              <w:t>A hallgatók a félév végén aláírást és gyakorlati jegyet kaphatnak. A foglalkozásokon való aktív részvétel mindegyiknek feltétele. A gyakorlati jegyet a minidolgozat és az otthoni készülésre épülő órai munka határozzák meg. Ha ezek közül bármelyik elégtelen, a félév végi jegy is elégtelen.</w:t>
            </w:r>
          </w:p>
          <w:p w14:paraId="618568DA" w14:textId="77777777" w:rsidR="00000000" w:rsidRDefault="00000000">
            <w:pPr>
              <w:jc w:val="both"/>
            </w:pPr>
            <w:r>
              <w:rPr>
                <w:u w:val="single"/>
              </w:rPr>
              <w:t>Hiányzás</w:t>
            </w:r>
            <w:r>
              <w:t xml:space="preserve"> A szemináriumokon a részvétel kötelező. A maximális hiányzási lehetőség 4x45 perc. Ennél több hiányzás esetén a kurzusra nem jár aláírás (így jegy sem). „Igazolt” és „igazolatlan” hiányzás között nincs különbség. </w:t>
            </w:r>
          </w:p>
          <w:p w14:paraId="56146383" w14:textId="5A1BC68F" w:rsidR="00000000" w:rsidRDefault="00000000">
            <w:pPr>
              <w:jc w:val="both"/>
            </w:pPr>
            <w:r>
              <w:rPr>
                <w:u w:val="single"/>
              </w:rPr>
              <w:t>Minidolgozat</w:t>
            </w:r>
            <w:r>
              <w:t xml:space="preserve"> A második héttől kezdve minden órára minidolgozatot kell írni.</w:t>
            </w:r>
          </w:p>
          <w:p w14:paraId="673A7D24" w14:textId="164B836C" w:rsidR="00000000" w:rsidRDefault="00000000">
            <w:pPr>
              <w:jc w:val="both"/>
            </w:pPr>
            <w:r>
              <w:rPr>
                <w:i/>
                <w:iCs/>
              </w:rPr>
              <w:t>Téma</w:t>
            </w:r>
            <w:r>
              <w:t xml:space="preserve">: a soron következő szöveg tartalmának összefoglalója. Egyszerűen (és leegyszerűsítően) mesélje el, miről szól a szöveg, mik a főbb tézisei, érvei, milyen nagyobb egységekből épül fel stb. </w:t>
            </w:r>
            <w:r w:rsidR="0071247A">
              <w:t>A dolgozat értékelésnek (a szöveg nyelvi megformáltsága mellett) egyik fontos szempontja, mennyire sikerült a lényeges pontokat kiemelnie. A feladat tehát nem az, hogy a minidolgozat önállóan feldolgozza ugyanazt a témát, amelyről a szerző is beszélt, vagy arról mondjon valamit, hogy hogyan beszélt róla, hanem hogy a lehető legpontosabban adja vissza azt, amit mondott. Természetesen ez is interpretációt követel, hisz a szerző mondandójának lényegét kell megragadni.</w:t>
            </w:r>
          </w:p>
          <w:p w14:paraId="49DFC524" w14:textId="77777777" w:rsidR="00000000" w:rsidRDefault="00000000">
            <w:pPr>
              <w:jc w:val="both"/>
            </w:pPr>
            <w:r>
              <w:rPr>
                <w:i/>
                <w:iCs/>
              </w:rPr>
              <w:t>Leadási határidő</w:t>
            </w:r>
            <w:r>
              <w:t xml:space="preserve"> (kinyomtatva </w:t>
            </w:r>
            <w:r>
              <w:rPr>
                <w:i/>
                <w:iCs/>
              </w:rPr>
              <w:t>és</w:t>
            </w:r>
            <w:r>
              <w:t xml:space="preserve"> elektronikusan is be kell adni):</w:t>
            </w:r>
          </w:p>
          <w:p w14:paraId="289AC19C" w14:textId="77777777" w:rsidR="00000000" w:rsidRDefault="00000000">
            <w:pPr>
              <w:jc w:val="both"/>
            </w:pPr>
            <w:r>
              <w:t>elektronikusan: az adott órát megelőző szerda 22.00 óra (</w:t>
            </w:r>
            <w:hyperlink r:id="rId8" w:history="1">
              <w:r>
                <w:rPr>
                  <w:rStyle w:val="Hiperhivatkozs"/>
                </w:rPr>
                <w:t>hankovszky@btk.ppke.hu</w:t>
              </w:r>
            </w:hyperlink>
            <w:r>
              <w:t>)</w:t>
            </w:r>
          </w:p>
          <w:p w14:paraId="540234BE" w14:textId="77777777" w:rsidR="00000000" w:rsidRDefault="00000000">
            <w:pPr>
              <w:jc w:val="both"/>
            </w:pPr>
            <w:r>
              <w:rPr>
                <w:bCs/>
              </w:rPr>
              <w:t>és</w:t>
            </w:r>
          </w:p>
          <w:p w14:paraId="73AE4A44" w14:textId="77777777" w:rsidR="00000000" w:rsidRDefault="00000000">
            <w:pPr>
              <w:jc w:val="both"/>
            </w:pPr>
            <w:r>
              <w:t>kinyomtatva: az adott órán</w:t>
            </w:r>
          </w:p>
          <w:p w14:paraId="00640C77" w14:textId="77777777" w:rsidR="00000000" w:rsidRDefault="00000000">
            <w:pPr>
              <w:jc w:val="both"/>
            </w:pPr>
            <w:r>
              <w:t>A határidő után leadott dolgozatok elmulasztottnak számítanak.</w:t>
            </w:r>
          </w:p>
          <w:p w14:paraId="193EEB27" w14:textId="77777777" w:rsidR="00000000" w:rsidRDefault="00000000">
            <w:pPr>
              <w:jc w:val="both"/>
            </w:pPr>
            <w:r>
              <w:t>Az elmulasztható dolgozatok megengedett száma 3. Ennél több mulasztás esetén a kurzusra nem jár aláírás (így jegy sem).</w:t>
            </w:r>
          </w:p>
          <w:p w14:paraId="1DCFFA4F" w14:textId="77777777" w:rsidR="00000000" w:rsidRDefault="00000000">
            <w:pPr>
              <w:jc w:val="both"/>
            </w:pPr>
            <w:r>
              <w:t xml:space="preserve">A leadott mini dolgozatnak el kell érnie egy bizonyos minőséget ahhoz, hogy ne számítson elmulasztottnak (hanem legalább elégtelennek). Nehéz egzakt módon definiálni, hogy milyen </w:t>
            </w:r>
            <w:r>
              <w:lastRenderedPageBreak/>
              <w:t>szintet. Egy üres papír vagy egy másik tárgyból írt dolgozat egy oldala nyilvánvalóan nem éri el. A leadott szövegből ki kell derülnie, hogy készítője legalábbis elolvasta és alapszinten megértette az elemzett szöveget. Ha pl. az összefoglaló csak a szöveg első feléről számol be, ez a feltétel nem teljesül. Az is fontos, hogy az egyes hallgatók által leadott dolgozatok eléggé különbözzenek egymástól, ne egymás átfogalmazásai legyenek.</w:t>
            </w:r>
          </w:p>
          <w:p w14:paraId="4EC260F3" w14:textId="0933059D" w:rsidR="00000000" w:rsidRDefault="00000000">
            <w:pPr>
              <w:jc w:val="both"/>
            </w:pPr>
            <w:r>
              <w:t>Az elmulasztott minidolgozat „nullásnak” számít, ám a három legrosszabb jegy (legyen az elmulasztás vagy bármi más következménye) a félév végi jegybe nem számít bele.</w:t>
            </w:r>
            <w:r w:rsidR="0071247A">
              <w:t xml:space="preserve"> </w:t>
            </w:r>
            <w:r w:rsidR="0071247A">
              <w:t>Hasonlóképpen nem számít bele a legjobb jegy sem, ha abból a jegyből a hallgató csak egyet szerzett.</w:t>
            </w:r>
          </w:p>
          <w:p w14:paraId="120E3BCC" w14:textId="4EAD778A" w:rsidR="00000000" w:rsidRDefault="00000000">
            <w:pPr>
              <w:jc w:val="both"/>
            </w:pPr>
            <w:r>
              <w:t xml:space="preserve">A minidolgozat </w:t>
            </w:r>
            <w:r>
              <w:rPr>
                <w:i/>
                <w:iCs/>
              </w:rPr>
              <w:t>formai követelményei</w:t>
            </w:r>
            <w:r>
              <w:t>:</w:t>
            </w:r>
          </w:p>
          <w:p w14:paraId="4718BBB4" w14:textId="48FDB111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Legyen rövid címe, amely megragadja az ismertetett rész tartalmát, majd zárójelben megadja a tárgyalt szövegrész oldalszámát!</w:t>
            </w:r>
          </w:p>
          <w:p w14:paraId="1AE5C3E1" w14:textId="1518D03B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Terjedelme minimum 2800, maximum 3000 karakter (kb. egy oldal) legyen! </w:t>
            </w:r>
            <w:r w:rsidR="0071247A">
              <w:t xml:space="preserve">A betűméret, a sorköz vagy a margók beállításával formálja úgy a szöveget, hogy egy-egy minidolgozat férjen el egy oldalon, és </w:t>
            </w:r>
            <w:r w:rsidR="0071247A">
              <w:rPr>
                <w:i/>
              </w:rPr>
              <w:t>esztétikusan</w:t>
            </w:r>
            <w:r w:rsidR="0071247A">
              <w:t xml:space="preserve"> töltse ki azt!</w:t>
            </w:r>
          </w:p>
          <w:p w14:paraId="7B986042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A szöveg legyen folytonos (tehát nem vázlatpontokból álló)! Oldalanként legfeljebb </w:t>
            </w:r>
            <w:r>
              <w:rPr>
                <w:i/>
              </w:rPr>
              <w:t>négy</w:t>
            </w:r>
            <w:r>
              <w:t xml:space="preserve"> bekezdésre tagolódjon!</w:t>
            </w:r>
          </w:p>
          <w:p w14:paraId="1FB1B5CC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Mindenféle bevezető nélkül </w:t>
            </w:r>
            <w:proofErr w:type="spellStart"/>
            <w:r>
              <w:t>kezdődjön</w:t>
            </w:r>
            <w:proofErr w:type="spellEnd"/>
            <w:r>
              <w:t xml:space="preserve"> azonnal a kijelölt szöveg tartalmának ismertetésével!</w:t>
            </w:r>
          </w:p>
          <w:p w14:paraId="7F980349" w14:textId="679ECF5E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A bemutatott gondolatokat ne értékelje</w:t>
            </w:r>
            <w:r w:rsidR="0071247A">
              <w:t xml:space="preserve">, ne </w:t>
            </w:r>
            <w:proofErr w:type="spellStart"/>
            <w:r w:rsidR="0071247A">
              <w:t>kontextualizálja</w:t>
            </w:r>
            <w:proofErr w:type="spellEnd"/>
            <w:r>
              <w:t>!</w:t>
            </w:r>
          </w:p>
          <w:p w14:paraId="05C2FFDC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Alcímeket ne tartalmazzon!</w:t>
            </w:r>
          </w:p>
          <w:p w14:paraId="24DE439C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Bibliográfiát ne tartalmazzon!</w:t>
            </w:r>
          </w:p>
          <w:p w14:paraId="7DD48359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Lábjegyzeteket ne tartalmazzon!</w:t>
            </w:r>
          </w:p>
          <w:p w14:paraId="5CBFD8B4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Egy-egy szintagmánál hosszabb idézeteket ne tartalmazzon!</w:t>
            </w:r>
          </w:p>
          <w:p w14:paraId="46E95678" w14:textId="1F912D03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A szöveget elektronikusan .</w:t>
            </w:r>
            <w:proofErr w:type="spellStart"/>
            <w:r>
              <w:t>doc</w:t>
            </w:r>
            <w:proofErr w:type="spellEnd"/>
            <w:r>
              <w:t xml:space="preserve"> vagy .</w:t>
            </w:r>
            <w:proofErr w:type="spellStart"/>
            <w:r>
              <w:t>docx</w:t>
            </w:r>
            <w:proofErr w:type="spellEnd"/>
            <w:r>
              <w:t xml:space="preserve"> formátumban kell beadni</w:t>
            </w:r>
            <w:r w:rsidR="0071247A">
              <w:t xml:space="preserve"> </w:t>
            </w:r>
            <w:r w:rsidR="0071247A">
              <w:t>(más formátumot, pl. PDF nem fogadok el)</w:t>
            </w:r>
            <w:r>
              <w:t>.</w:t>
            </w:r>
          </w:p>
          <w:p w14:paraId="55F573A6" w14:textId="4505ED71" w:rsidR="0071247A" w:rsidRDefault="0071247A">
            <w:pPr>
              <w:numPr>
                <w:ilvl w:val="0"/>
                <w:numId w:val="3"/>
              </w:numPr>
              <w:jc w:val="both"/>
            </w:pPr>
            <w:r>
              <w:t xml:space="preserve">A fájl címe két egységből álljon: a dolgozat írójának vezetéknevéből, illetve a feldolgozott </w:t>
            </w:r>
            <w:r>
              <w:t xml:space="preserve">szövegrész -tól-ig oldalszámából </w:t>
            </w:r>
            <w:r>
              <w:t xml:space="preserve">(pl. Hankovszky – </w:t>
            </w:r>
            <w:r>
              <w:t>11–26</w:t>
            </w:r>
            <w:r>
              <w:t>)</w:t>
            </w:r>
          </w:p>
          <w:p w14:paraId="00A714B6" w14:textId="77777777" w:rsidR="00000000" w:rsidRDefault="00000000">
            <w:pPr>
              <w:jc w:val="both"/>
            </w:pPr>
            <w:r>
              <w:t>A formailag nem megfelelő, (elektronikusan vagy nyomtatva) késve érkezett vagy a Word által is jelzett helyesírási hibákat tartalmazó dolgozatokat olvasatlanul elutasítom, és elmulasztottnak minősítem.</w:t>
            </w:r>
          </w:p>
          <w:p w14:paraId="24D238CD" w14:textId="77777777" w:rsidR="00000000" w:rsidRDefault="00000000">
            <w:pPr>
              <w:jc w:val="both"/>
            </w:pPr>
          </w:p>
          <w:p w14:paraId="2FD9CA2C" w14:textId="77777777" w:rsidR="00000000" w:rsidRDefault="00000000">
            <w:pPr>
              <w:jc w:val="both"/>
            </w:pPr>
            <w:r>
              <w:rPr>
                <w:b/>
                <w:bCs/>
              </w:rPr>
              <w:t>A tervezett menetrend</w:t>
            </w:r>
          </w:p>
          <w:p w14:paraId="512DB3B7" w14:textId="77777777" w:rsidR="00000000" w:rsidRDefault="00000000">
            <w:pPr>
              <w:jc w:val="both"/>
            </w:pPr>
            <w:r>
              <w:t xml:space="preserve">Az időbeosztás és az olvasnivalók a félév folyamán változhatnak. Ezért az órákra való készülést ajánlott mindig a kurzus honlapjának felkeresésével kezdeni. </w:t>
            </w:r>
          </w:p>
          <w:p w14:paraId="61545EBD" w14:textId="77777777" w:rsidR="00000000" w:rsidRDefault="00000000">
            <w:pPr>
              <w:jc w:val="both"/>
            </w:pPr>
          </w:p>
          <w:tbl>
            <w:tblPr>
              <w:tblW w:w="71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5753"/>
            </w:tblGrid>
            <w:tr w:rsidR="00000000" w14:paraId="337C707A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CC3665A" w14:textId="77777777" w:rsidR="00000000" w:rsidRDefault="00000000">
                  <w:pPr>
                    <w:jc w:val="both"/>
                  </w:pPr>
                  <w:r>
                    <w:t>02. 13.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F3A87E6" w14:textId="77777777" w:rsidR="00000000" w:rsidRDefault="00000000">
                  <w:pPr>
                    <w:jc w:val="both"/>
                  </w:pPr>
                  <w:r>
                    <w:t>Kurzusmegbeszélés, Bevezetés</w:t>
                  </w:r>
                </w:p>
              </w:tc>
            </w:tr>
            <w:tr w:rsidR="00000000" w14:paraId="453351CE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47F3BDC7" w14:textId="77777777" w:rsidR="00000000" w:rsidRDefault="00000000">
                  <w:pPr>
                    <w:jc w:val="both"/>
                  </w:pPr>
                  <w:r>
                    <w:t>02. 20.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CC463BE" w14:textId="77777777" w:rsidR="00000000" w:rsidRDefault="00000000">
                  <w:pPr>
                    <w:jc w:val="both"/>
                  </w:pPr>
                  <w:r>
                    <w:t>Kétely 11–26.</w:t>
                  </w:r>
                </w:p>
              </w:tc>
            </w:tr>
            <w:tr w:rsidR="00000000" w14:paraId="4AE8F44D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5CD62752" w14:textId="77777777" w:rsidR="00000000" w:rsidRDefault="00000000">
                  <w:pPr>
                    <w:jc w:val="both"/>
                  </w:pPr>
                  <w:r>
                    <w:t>02. 27.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EAF6CAD" w14:textId="77777777" w:rsidR="00000000" w:rsidRDefault="00000000">
                  <w:pPr>
                    <w:jc w:val="both"/>
                  </w:pPr>
                  <w:r>
                    <w:t>Kétely 26–41.</w:t>
                  </w:r>
                </w:p>
              </w:tc>
            </w:tr>
            <w:tr w:rsidR="00000000" w14:paraId="54A7A21B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5F10470" w14:textId="77777777" w:rsidR="00000000" w:rsidRDefault="00000000">
                  <w:pPr>
                    <w:jc w:val="both"/>
                  </w:pPr>
                  <w:r>
                    <w:t>03. 6.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A442E0D" w14:textId="77777777" w:rsidR="00000000" w:rsidRDefault="00000000">
                  <w:pPr>
                    <w:jc w:val="both"/>
                  </w:pPr>
                  <w:r>
                    <w:t>Kétely 41–56.</w:t>
                  </w:r>
                </w:p>
              </w:tc>
            </w:tr>
            <w:tr w:rsidR="00000000" w14:paraId="24A32DC7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E02C98A" w14:textId="77777777" w:rsidR="00000000" w:rsidRDefault="00000000">
                  <w:pPr>
                    <w:jc w:val="both"/>
                  </w:pPr>
                  <w:r>
                    <w:t>03. 13.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BFA83E9" w14:textId="77777777" w:rsidR="00000000" w:rsidRDefault="00000000">
                  <w:pPr>
                    <w:jc w:val="both"/>
                    <w:rPr>
                      <w:b/>
                    </w:rPr>
                  </w:pPr>
                  <w:r>
                    <w:t>Tudás 59–79.</w:t>
                  </w:r>
                </w:p>
              </w:tc>
            </w:tr>
            <w:tr w:rsidR="00000000" w14:paraId="0833C957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320049C" w14:textId="77777777" w:rsidR="00000000" w:rsidRDefault="00000000">
                  <w:pPr>
                    <w:jc w:val="both"/>
                  </w:pPr>
                  <w:r>
                    <w:t>03. 20.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E5D9BEE" w14:textId="77777777" w:rsidR="00000000" w:rsidRDefault="00000000">
                  <w:pPr>
                    <w:jc w:val="both"/>
                  </w:pPr>
                  <w:r>
                    <w:t>Tudás 79–94.</w:t>
                  </w:r>
                </w:p>
              </w:tc>
            </w:tr>
            <w:tr w:rsidR="00000000" w14:paraId="0A15D924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45BFB3D8" w14:textId="77777777" w:rsidR="00000000" w:rsidRDefault="00000000">
                  <w:pPr>
                    <w:jc w:val="both"/>
                  </w:pPr>
                  <w:r>
                    <w:t>03. 27.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66349DF" w14:textId="77777777" w:rsidR="00000000" w:rsidRDefault="00000000">
                  <w:pPr>
                    <w:jc w:val="both"/>
                  </w:pPr>
                  <w:r>
                    <w:t>Tudás 94–108.</w:t>
                  </w:r>
                </w:p>
              </w:tc>
            </w:tr>
            <w:tr w:rsidR="00000000" w14:paraId="45CA663A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337E77D" w14:textId="77777777" w:rsidR="00000000" w:rsidRDefault="00000000">
                  <w:pPr>
                    <w:jc w:val="both"/>
                  </w:pPr>
                  <w:r>
                    <w:t>04. 3.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2B85CBC" w14:textId="77777777" w:rsidR="00000000" w:rsidRDefault="00000000">
                  <w:pPr>
                    <w:jc w:val="both"/>
                    <w:rPr>
                      <w:i/>
                    </w:rPr>
                  </w:pPr>
                  <w:r>
                    <w:t>Tudás 108–135.</w:t>
                  </w:r>
                </w:p>
              </w:tc>
            </w:tr>
            <w:tr w:rsidR="00000000" w14:paraId="4530FA7B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0C085F5" w14:textId="77777777" w:rsidR="00000000" w:rsidRDefault="00000000">
                  <w:pPr>
                    <w:jc w:val="both"/>
                  </w:pPr>
                  <w:r>
                    <w:t>04. 10.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4DFB508" w14:textId="77777777" w:rsidR="00000000" w:rsidRDefault="00000000">
                  <w:pPr>
                    <w:jc w:val="both"/>
                  </w:pPr>
                  <w:r>
                    <w:t>Hit 139–163.</w:t>
                  </w:r>
                </w:p>
              </w:tc>
            </w:tr>
            <w:tr w:rsidR="00000000" w14:paraId="609E348C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3060865" w14:textId="77777777" w:rsidR="00000000" w:rsidRDefault="00000000">
                  <w:pPr>
                    <w:jc w:val="both"/>
                  </w:pPr>
                  <w:r>
                    <w:t>04. 17.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97CB7A7" w14:textId="77777777" w:rsidR="00000000" w:rsidRDefault="00000000">
                  <w:pPr>
                    <w:jc w:val="both"/>
                  </w:pPr>
                  <w:r>
                    <w:rPr>
                      <w:b/>
                    </w:rPr>
                    <w:t>Szünet</w:t>
                  </w:r>
                </w:p>
              </w:tc>
            </w:tr>
            <w:tr w:rsidR="00000000" w14:paraId="0056A823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052B627" w14:textId="5B62DAE8" w:rsidR="00000000" w:rsidRDefault="00000000">
                  <w:pPr>
                    <w:jc w:val="both"/>
                  </w:pPr>
                  <w:r>
                    <w:t>04.</w:t>
                  </w:r>
                  <w:r w:rsidR="00046FFB">
                    <w:t xml:space="preserve"> </w:t>
                  </w:r>
                  <w:r>
                    <w:t>24.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022C118" w14:textId="77777777" w:rsidR="00000000" w:rsidRDefault="00000000">
                  <w:pPr>
                    <w:jc w:val="both"/>
                  </w:pPr>
                  <w:r>
                    <w:rPr>
                      <w:b/>
                    </w:rPr>
                    <w:t>Szünet</w:t>
                  </w:r>
                </w:p>
              </w:tc>
            </w:tr>
            <w:tr w:rsidR="00000000" w14:paraId="26EFFC29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77D0848" w14:textId="77777777" w:rsidR="00000000" w:rsidRDefault="00000000">
                  <w:pPr>
                    <w:jc w:val="both"/>
                  </w:pPr>
                  <w:r>
                    <w:t>05. 1.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2B36329" w14:textId="77777777" w:rsidR="00000000" w:rsidRDefault="00000000">
                  <w:pPr>
                    <w:jc w:val="both"/>
                  </w:pPr>
                  <w:r>
                    <w:rPr>
                      <w:b/>
                    </w:rPr>
                    <w:t>Szünet</w:t>
                  </w:r>
                </w:p>
              </w:tc>
            </w:tr>
            <w:tr w:rsidR="00000000" w14:paraId="012D6023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5FA97BE5" w14:textId="77777777" w:rsidR="00000000" w:rsidRDefault="00000000">
                  <w:pPr>
                    <w:jc w:val="both"/>
                  </w:pPr>
                  <w:r>
                    <w:t>05. 8.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402F994" w14:textId="77777777" w:rsidR="00000000" w:rsidRDefault="00000000">
                  <w:pPr>
                    <w:jc w:val="both"/>
                  </w:pPr>
                  <w:r>
                    <w:t>Hit 165–212.</w:t>
                  </w:r>
                </w:p>
              </w:tc>
            </w:tr>
            <w:tr w:rsidR="00000000" w14:paraId="77E3C10A" w14:textId="77777777">
              <w:tc>
                <w:tcPr>
                  <w:tcW w:w="13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44CDC920" w14:textId="77777777" w:rsidR="00000000" w:rsidRDefault="00000000">
                  <w:pPr>
                    <w:jc w:val="both"/>
                  </w:pPr>
                  <w:r>
                    <w:t>05. 15.</w:t>
                  </w:r>
                </w:p>
              </w:tc>
              <w:tc>
                <w:tcPr>
                  <w:tcW w:w="575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5A9A320" w14:textId="77777777" w:rsidR="00000000" w:rsidRDefault="00000000">
                  <w:pPr>
                    <w:jc w:val="both"/>
                  </w:pPr>
                  <w:r>
                    <w:t>Hit 213–251.</w:t>
                  </w:r>
                </w:p>
              </w:tc>
            </w:tr>
          </w:tbl>
          <w:p w14:paraId="7771823C" w14:textId="77777777" w:rsidR="00000000" w:rsidRDefault="00000000"/>
          <w:p w14:paraId="589E1D53" w14:textId="77777777" w:rsidR="00000000" w:rsidRDefault="00000000">
            <w:pPr>
              <w:jc w:val="both"/>
            </w:pPr>
            <w:r>
              <w:rPr>
                <w:b/>
                <w:bCs/>
              </w:rPr>
              <w:t xml:space="preserve">Kötelező olvasmányok </w:t>
            </w:r>
          </w:p>
          <w:p w14:paraId="44D7D7C9" w14:textId="77777777" w:rsidR="00000000" w:rsidRDefault="00000000">
            <w:pPr>
              <w:ind w:left="180" w:hanging="180"/>
              <w:jc w:val="both"/>
            </w:pPr>
            <w:r>
              <w:t xml:space="preserve">Fichte, Johann Gottlieb. </w:t>
            </w:r>
            <w:hyperlink r:id="rId9" w:tooltip="http://hankovszky.tamas.btk.ppke.hu/szgy/bestimmung.doc" w:history="1">
              <w:r>
                <w:rPr>
                  <w:rStyle w:val="Hiperhivatkozs"/>
                  <w:i/>
                </w:rPr>
                <w:t>Az ember rendeltetése</w:t>
              </w:r>
            </w:hyperlink>
            <w:r>
              <w:t xml:space="preserve">. (ford. Kis János) Budapest, Magyar Helikon, 1976. Ua.: In Fichte: </w:t>
            </w:r>
            <w:r>
              <w:rPr>
                <w:i/>
              </w:rPr>
              <w:t>Válogatott filozófiai írások</w:t>
            </w:r>
            <w:r>
              <w:t>. Budapest, Gondolat, 1981. 237–411.</w:t>
            </w:r>
          </w:p>
          <w:p w14:paraId="277E23AC" w14:textId="77777777" w:rsidR="00000000" w:rsidRDefault="00000000">
            <w:pPr>
              <w:jc w:val="both"/>
              <w:rPr>
                <w:b/>
                <w:bCs/>
              </w:rPr>
            </w:pPr>
          </w:p>
          <w:p w14:paraId="2D2B354F" w14:textId="77777777" w:rsidR="00000000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Segédanyag</w:t>
            </w:r>
          </w:p>
          <w:p w14:paraId="6DA8D789" w14:textId="77777777" w:rsidR="00000000" w:rsidRDefault="00000000">
            <w:pPr>
              <w:jc w:val="both"/>
              <w:rPr>
                <w:bCs/>
              </w:rPr>
            </w:pPr>
            <w:hyperlink r:id="rId10" w:tooltip="http://hankovszky.tamas.btk.ppke.hu/okta/fichte-kerd-bestimmung1.pdf" w:history="1">
              <w:r>
                <w:rPr>
                  <w:rStyle w:val="Hiperhivatkozs"/>
                  <w:bCs/>
                </w:rPr>
                <w:t>Kérdések</w:t>
              </w:r>
            </w:hyperlink>
            <w:r>
              <w:rPr>
                <w:bCs/>
              </w:rPr>
              <w:t xml:space="preserve"> Fichte Az ember rendeltetése című művéhez</w:t>
            </w:r>
          </w:p>
          <w:p w14:paraId="016199AF" w14:textId="77777777" w:rsidR="00000000" w:rsidRDefault="00000000">
            <w:pPr>
              <w:jc w:val="both"/>
              <w:rPr>
                <w:b/>
                <w:bCs/>
              </w:rPr>
            </w:pPr>
          </w:p>
          <w:p w14:paraId="18518C3E" w14:textId="77777777" w:rsidR="00000000" w:rsidRDefault="00000000">
            <w:pPr>
              <w:ind w:left="180" w:hanging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Ajánlott irodalom</w:t>
            </w:r>
          </w:p>
          <w:p w14:paraId="0B7DECD0" w14:textId="77777777" w:rsidR="00000000" w:rsidRDefault="00000000">
            <w:pPr>
              <w:ind w:left="316" w:hanging="242"/>
              <w:jc w:val="both"/>
            </w:pPr>
            <w:proofErr w:type="spellStart"/>
            <w:r>
              <w:t>Asmuth</w:t>
            </w:r>
            <w:proofErr w:type="spellEnd"/>
            <w:r>
              <w:t xml:space="preserve">, Christoph: </w:t>
            </w:r>
            <w:proofErr w:type="spellStart"/>
            <w:r>
              <w:t>Einleitung</w:t>
            </w:r>
            <w:proofErr w:type="spellEnd"/>
            <w:r>
              <w:t xml:space="preserve">. In Johann Gottlieb Fichte, </w:t>
            </w:r>
            <w:proofErr w:type="spellStart"/>
            <w:r>
              <w:rPr>
                <w:i/>
                <w:iCs/>
              </w:rPr>
              <w:t>Die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Bestimmung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Menschen</w:t>
            </w:r>
            <w:proofErr w:type="spellEnd"/>
            <w:r>
              <w:t xml:space="preserve">. </w:t>
            </w:r>
            <w:proofErr w:type="spellStart"/>
            <w:r>
              <w:t>Wiesbaden</w:t>
            </w:r>
            <w:proofErr w:type="spellEnd"/>
            <w:r>
              <w:t xml:space="preserve">, </w:t>
            </w:r>
            <w:proofErr w:type="spellStart"/>
            <w:r>
              <w:t>Marixverlag</w:t>
            </w:r>
            <w:proofErr w:type="spellEnd"/>
            <w:r>
              <w:t>, 2013. 7–29.</w:t>
            </w:r>
          </w:p>
          <w:p w14:paraId="78F28EB6" w14:textId="77777777" w:rsidR="00000000" w:rsidRDefault="00000000">
            <w:pPr>
              <w:ind w:left="316" w:hanging="242"/>
              <w:jc w:val="both"/>
            </w:pPr>
            <w:proofErr w:type="spellStart"/>
            <w:r>
              <w:t>Breazeale</w:t>
            </w:r>
            <w:proofErr w:type="spellEnd"/>
            <w:r>
              <w:t xml:space="preserve">, Daniel – Tom Rockmore (szerk.): </w:t>
            </w:r>
            <w:proofErr w:type="spellStart"/>
            <w:r>
              <w:rPr>
                <w:i/>
              </w:rPr>
              <w:t>Fichte's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Vocation</w:t>
            </w:r>
            <w:proofErr w:type="spellEnd"/>
            <w:r>
              <w:rPr>
                <w:i/>
              </w:rPr>
              <w:t xml:space="preserve"> of Man. </w:t>
            </w:r>
            <w:r>
              <w:rPr>
                <w:i/>
                <w:lang w:val="en-GB"/>
              </w:rPr>
              <w:t>New Interpretive and Critical Essays</w:t>
            </w:r>
            <w:r>
              <w:rPr>
                <w:lang w:val="en-GB"/>
              </w:rPr>
              <w:t xml:space="preserve">. </w:t>
            </w:r>
            <w:r w:rsidRPr="00046FFB">
              <w:rPr>
                <w:lang w:val="de-DE"/>
              </w:rPr>
              <w:t xml:space="preserve">Albany, State University </w:t>
            </w:r>
            <w:proofErr w:type="spellStart"/>
            <w:r w:rsidRPr="00046FFB">
              <w:rPr>
                <w:lang w:val="de-DE"/>
              </w:rPr>
              <w:t>of</w:t>
            </w:r>
            <w:proofErr w:type="spellEnd"/>
            <w:r w:rsidRPr="00046FFB">
              <w:rPr>
                <w:lang w:val="de-DE"/>
              </w:rPr>
              <w:t xml:space="preserve"> New York Press, 2014. </w:t>
            </w:r>
          </w:p>
          <w:p w14:paraId="0C59C595" w14:textId="77777777" w:rsidR="00000000" w:rsidRDefault="00000000">
            <w:pPr>
              <w:ind w:left="316" w:hanging="242"/>
              <w:jc w:val="both"/>
              <w:rPr>
                <w:lang w:val="de-DE"/>
              </w:rPr>
            </w:pPr>
            <w:r>
              <w:rPr>
                <w:lang w:val="de-DE"/>
              </w:rPr>
              <w:t>Heidemann, Dietmar: Monolog und Dialog in Fichtes Bestimmung des Menschen. In Bowman, Brady (</w:t>
            </w:r>
            <w:proofErr w:type="spellStart"/>
            <w:r>
              <w:rPr>
                <w:lang w:val="de-DE"/>
              </w:rPr>
              <w:t>szerk</w:t>
            </w:r>
            <w:proofErr w:type="spellEnd"/>
            <w:r>
              <w:rPr>
                <w:lang w:val="de-DE"/>
              </w:rPr>
              <w:t xml:space="preserve">.): </w:t>
            </w:r>
            <w:r>
              <w:rPr>
                <w:i/>
                <w:iCs/>
                <w:lang w:val="de-DE"/>
              </w:rPr>
              <w:t>Darstellung und Erkenntnis. Beiträge zur Rolle nichtpropositionaler Erkenntnisformen in der deutschen Philosophie und Literatur nach Kant</w:t>
            </w:r>
            <w:r>
              <w:rPr>
                <w:lang w:val="de-DE"/>
              </w:rPr>
              <w:t>. Paderborn, Mentis, 2007. 95–116.</w:t>
            </w:r>
          </w:p>
          <w:p w14:paraId="6AFD9EBF" w14:textId="77777777" w:rsidR="00000000" w:rsidRDefault="00000000">
            <w:pPr>
              <w:ind w:left="316" w:hanging="242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Ivaldo</w:t>
            </w:r>
            <w:proofErr w:type="spellEnd"/>
            <w:r>
              <w:rPr>
                <w:lang w:val="de-DE"/>
              </w:rPr>
              <w:t xml:space="preserve">, Marco: Skeptizismus bei Fichte mit besonderer Berücksichtigung der Rolle des Zweifels in der »Bestimmung des Menschen. In </w:t>
            </w:r>
            <w:r>
              <w:rPr>
                <w:i/>
                <w:lang w:val="de-DE"/>
              </w:rPr>
              <w:t>Fichte-Studien</w:t>
            </w:r>
            <w:r>
              <w:rPr>
                <w:lang w:val="de-DE"/>
              </w:rPr>
              <w:t xml:space="preserve"> </w:t>
            </w:r>
            <w:r>
              <w:rPr>
                <w:i/>
                <w:lang w:val="de-DE"/>
              </w:rPr>
              <w:t>39</w:t>
            </w:r>
            <w:r>
              <w:rPr>
                <w:lang w:val="de-DE"/>
              </w:rPr>
              <w:t>. (2012) 19–36.</w:t>
            </w:r>
          </w:p>
          <w:p w14:paraId="1EBFF961" w14:textId="77777777" w:rsidR="00000000" w:rsidRDefault="00000000">
            <w:pPr>
              <w:ind w:left="316" w:hanging="242"/>
              <w:jc w:val="both"/>
            </w:pPr>
            <w:r>
              <w:rPr>
                <w:bCs/>
                <w:lang w:val="de-DE"/>
              </w:rPr>
              <w:t xml:space="preserve">Münster, Harald: </w:t>
            </w:r>
            <w:r>
              <w:rPr>
                <w:bCs/>
                <w:i/>
                <w:lang w:val="de-DE"/>
              </w:rPr>
              <w:t xml:space="preserve">Fichte trifft Darwin, Luhmann und Derrida. "Die Bestimmung des Menschen" in differenztheoretischer Rekonstruktion und im Kontext der Wissenschaftslehre </w:t>
            </w:r>
            <w:proofErr w:type="spellStart"/>
            <w:r>
              <w:rPr>
                <w:bCs/>
                <w:i/>
                <w:lang w:val="de-DE"/>
              </w:rPr>
              <w:t>nova</w:t>
            </w:r>
            <w:proofErr w:type="spellEnd"/>
            <w:r>
              <w:rPr>
                <w:bCs/>
                <w:i/>
                <w:lang w:val="de-DE"/>
              </w:rPr>
              <w:t xml:space="preserve"> </w:t>
            </w:r>
            <w:proofErr w:type="spellStart"/>
            <w:r>
              <w:rPr>
                <w:bCs/>
                <w:i/>
                <w:lang w:val="de-DE"/>
              </w:rPr>
              <w:t>methodo</w:t>
            </w:r>
            <w:proofErr w:type="spellEnd"/>
            <w:r>
              <w:rPr>
                <w:bCs/>
                <w:lang w:val="de-DE"/>
              </w:rPr>
              <w:t>. (Fichte-Studien-</w:t>
            </w:r>
            <w:proofErr w:type="spellStart"/>
            <w:r>
              <w:rPr>
                <w:bCs/>
                <w:lang w:val="de-DE"/>
              </w:rPr>
              <w:t>Supplementa</w:t>
            </w:r>
            <w:proofErr w:type="spellEnd"/>
            <w:r>
              <w:rPr>
                <w:bCs/>
                <w:lang w:val="de-DE"/>
              </w:rPr>
              <w:t xml:space="preserve"> 28) Amsterdam, New York: </w:t>
            </w:r>
            <w:proofErr w:type="spellStart"/>
            <w:r>
              <w:rPr>
                <w:bCs/>
                <w:lang w:val="de-DE"/>
              </w:rPr>
              <w:t>Rodopi</w:t>
            </w:r>
            <w:proofErr w:type="spellEnd"/>
            <w:r>
              <w:rPr>
                <w:bCs/>
                <w:lang w:val="de-DE"/>
              </w:rPr>
              <w:t xml:space="preserve"> 2011.</w:t>
            </w:r>
          </w:p>
          <w:p w14:paraId="45CEB89B" w14:textId="77777777" w:rsidR="00000000" w:rsidRDefault="00000000">
            <w:pPr>
              <w:ind w:left="316" w:hanging="242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Noller, Jörg: Tribute des Zweifels. Fichtes dramatische Behandlung des Skeptizismus in der Bestimmung des Menschen. In </w:t>
            </w:r>
            <w:r>
              <w:rPr>
                <w:i/>
                <w:lang w:val="de-DE"/>
              </w:rPr>
              <w:t>Wezel-Jahrbuch. Studien zur europäischen Aufklärung</w:t>
            </w:r>
            <w:r>
              <w:rPr>
                <w:lang w:val="de-DE"/>
              </w:rPr>
              <w:t xml:space="preserve"> 14/15 (2011/2012) 63–81.</w:t>
            </w:r>
          </w:p>
          <w:p w14:paraId="268CFF42" w14:textId="77777777" w:rsidR="00000000" w:rsidRDefault="00000000">
            <w:pPr>
              <w:ind w:left="316" w:hanging="242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Oesterreich</w:t>
            </w:r>
            <w:proofErr w:type="spellEnd"/>
            <w:r>
              <w:rPr>
                <w:lang w:val="de-DE"/>
              </w:rPr>
              <w:t xml:space="preserve">, Peter L. – Hartmut Traub: </w:t>
            </w:r>
            <w:proofErr w:type="gramStart"/>
            <w:r>
              <w:rPr>
                <w:i/>
                <w:lang w:val="de-DE"/>
              </w:rPr>
              <w:t>Der ganze Fichte</w:t>
            </w:r>
            <w:proofErr w:type="gramEnd"/>
            <w:r>
              <w:rPr>
                <w:i/>
                <w:lang w:val="de-DE"/>
              </w:rPr>
              <w:t>: Die populäre, wissenschaftliche und metaphilosophische Erschließung der Welt.</w:t>
            </w:r>
            <w:r>
              <w:rPr>
                <w:lang w:val="de-DE"/>
              </w:rPr>
              <w:t xml:space="preserve"> Stuttgart, Kohlhammer, 2006. 267–279.</w:t>
            </w:r>
          </w:p>
          <w:p w14:paraId="0A293E81" w14:textId="77777777" w:rsidR="00000000" w:rsidRDefault="00000000">
            <w:pPr>
              <w:ind w:left="316" w:hanging="242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Radrizzani</w:t>
            </w:r>
            <w:proofErr w:type="spellEnd"/>
            <w:r>
              <w:rPr>
                <w:lang w:val="de-DE"/>
              </w:rPr>
              <w:t xml:space="preserve">, Ives: Die Bestimmung des Menschen: der Wendepunkt zur Spätphilosophie? In </w:t>
            </w:r>
            <w:r>
              <w:rPr>
                <w:i/>
                <w:lang w:val="de-DE"/>
              </w:rPr>
              <w:t>Fichte-Studien 17</w:t>
            </w:r>
            <w:r>
              <w:rPr>
                <w:lang w:val="de-DE"/>
              </w:rPr>
              <w:t>. (2000) 19–42.</w:t>
            </w:r>
          </w:p>
          <w:p w14:paraId="6B4F7ED4" w14:textId="77777777" w:rsidR="00000000" w:rsidRDefault="00000000">
            <w:pPr>
              <w:ind w:left="316" w:hanging="242"/>
              <w:jc w:val="both"/>
            </w:pPr>
            <w:proofErr w:type="spellStart"/>
            <w:r>
              <w:t>Hindrichs</w:t>
            </w:r>
            <w:proofErr w:type="spellEnd"/>
            <w:r>
              <w:t xml:space="preserve">, </w:t>
            </w:r>
            <w:proofErr w:type="spellStart"/>
            <w:r>
              <w:t>Gunnar</w:t>
            </w:r>
            <w:proofErr w:type="spellEnd"/>
            <w:r>
              <w:t xml:space="preserve">: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Standpunkt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natürlichen</w:t>
            </w:r>
            <w:proofErr w:type="spellEnd"/>
            <w:r>
              <w:t xml:space="preserve"> </w:t>
            </w:r>
            <w:proofErr w:type="spellStart"/>
            <w:r>
              <w:t>Denkens</w:t>
            </w:r>
            <w:proofErr w:type="spellEnd"/>
            <w:r>
              <w:t xml:space="preserve">. </w:t>
            </w:r>
            <w:proofErr w:type="spellStart"/>
            <w:r>
              <w:t>Fichtes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Bestimmung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Menschen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in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Auseinandersetzung</w:t>
            </w:r>
            <w:proofErr w:type="spellEnd"/>
            <w:r>
              <w:t xml:space="preserve"> mit </w:t>
            </w:r>
            <w:proofErr w:type="spellStart"/>
            <w:r>
              <w:t>der</w:t>
            </w:r>
            <w:proofErr w:type="spellEnd"/>
            <w:r>
              <w:t xml:space="preserve"> »</w:t>
            </w:r>
            <w:proofErr w:type="spellStart"/>
            <w:r>
              <w:t>Unphilosophie</w:t>
            </w:r>
            <w:proofErr w:type="spellEnd"/>
            <w:r>
              <w:t xml:space="preserve">« </w:t>
            </w:r>
            <w:proofErr w:type="spellStart"/>
            <w:r>
              <w:t>Jacobis</w:t>
            </w:r>
            <w:proofErr w:type="spellEnd"/>
            <w:r>
              <w:t xml:space="preserve">. In Birgit </w:t>
            </w:r>
            <w:proofErr w:type="spellStart"/>
            <w:r>
              <w:t>Sandkaulen</w:t>
            </w:r>
            <w:proofErr w:type="spellEnd"/>
            <w:r>
              <w:t xml:space="preserve"> (szerk.): </w:t>
            </w:r>
            <w:r>
              <w:rPr>
                <w:i/>
              </w:rPr>
              <w:t xml:space="preserve">System und </w:t>
            </w:r>
            <w:proofErr w:type="spellStart"/>
            <w:r>
              <w:rPr>
                <w:i/>
              </w:rPr>
              <w:t>Systemkritik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Beiträge</w:t>
            </w:r>
            <w:proofErr w:type="spellEnd"/>
            <w:r>
              <w:rPr>
                <w:i/>
              </w:rPr>
              <w:t xml:space="preserve"> zu </w:t>
            </w:r>
            <w:proofErr w:type="spellStart"/>
            <w:r>
              <w:rPr>
                <w:i/>
              </w:rPr>
              <w:t>einem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Grundproblem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klassischen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deutschen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Philosophie</w:t>
            </w:r>
            <w:proofErr w:type="spellEnd"/>
            <w:r>
              <w:t xml:space="preserve">. Würzburg, </w:t>
            </w:r>
            <w:proofErr w:type="spellStart"/>
            <w:r>
              <w:t>Königshausen</w:t>
            </w:r>
            <w:proofErr w:type="spellEnd"/>
            <w:r>
              <w:t xml:space="preserve"> &amp; Neumann, 2006. 109–129.</w:t>
            </w:r>
          </w:p>
          <w:p w14:paraId="63C16C0C" w14:textId="77777777" w:rsidR="00000000" w:rsidRDefault="00000000">
            <w:pPr>
              <w:ind w:left="316" w:hanging="242"/>
              <w:jc w:val="both"/>
            </w:pPr>
            <w:proofErr w:type="spellStart"/>
            <w:r>
              <w:t>Janke</w:t>
            </w:r>
            <w:proofErr w:type="spellEnd"/>
            <w:r>
              <w:t xml:space="preserve">, Wolfgang: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empirische</w:t>
            </w:r>
            <w:proofErr w:type="spellEnd"/>
            <w:r>
              <w:t xml:space="preserve"> </w:t>
            </w:r>
            <w:proofErr w:type="spellStart"/>
            <w:r>
              <w:t>Bild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. Zu </w:t>
            </w:r>
            <w:proofErr w:type="spellStart"/>
            <w:r>
              <w:t>Fichtes</w:t>
            </w:r>
            <w:proofErr w:type="spellEnd"/>
            <w:r>
              <w:t xml:space="preserve"> </w:t>
            </w:r>
            <w:proofErr w:type="spellStart"/>
            <w:r>
              <w:t>Bestimmung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Menschen</w:t>
            </w:r>
            <w:proofErr w:type="spellEnd"/>
            <w:r>
              <w:t xml:space="preserve">. In </w:t>
            </w:r>
            <w:proofErr w:type="spellStart"/>
            <w:r>
              <w:t>Eugen</w:t>
            </w:r>
            <w:proofErr w:type="spellEnd"/>
            <w:r>
              <w:t xml:space="preserve"> Fink – </w:t>
            </w:r>
            <w:proofErr w:type="spellStart"/>
            <w:r>
              <w:t>Rudolph</w:t>
            </w:r>
            <w:proofErr w:type="spellEnd"/>
            <w:r>
              <w:t xml:space="preserve"> </w:t>
            </w:r>
            <w:proofErr w:type="spellStart"/>
            <w:r>
              <w:t>Berlinger</w:t>
            </w:r>
            <w:proofErr w:type="spellEnd"/>
            <w:r>
              <w:t xml:space="preserve"> (szerk.): </w:t>
            </w:r>
            <w:proofErr w:type="spellStart"/>
            <w:r>
              <w:rPr>
                <w:i/>
              </w:rPr>
              <w:t>Philosophische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Perspektiven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Ein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Jahrbuch</w:t>
            </w:r>
            <w:proofErr w:type="spellEnd"/>
            <w:r>
              <w:rPr>
                <w:i/>
              </w:rPr>
              <w:t xml:space="preserve"> 1.</w:t>
            </w:r>
            <w:r>
              <w:t xml:space="preserve"> (1969). 229–246.</w:t>
            </w:r>
          </w:p>
          <w:p w14:paraId="0E5AEAE5" w14:textId="77777777" w:rsidR="00000000" w:rsidRDefault="00000000">
            <w:pPr>
              <w:ind w:left="316" w:hanging="242"/>
              <w:jc w:val="both"/>
            </w:pPr>
            <w:proofErr w:type="spellStart"/>
            <w:r>
              <w:t>Macor</w:t>
            </w:r>
            <w:proofErr w:type="spellEnd"/>
            <w:r>
              <w:t xml:space="preserve">, Laura Anna: </w:t>
            </w:r>
            <w:proofErr w:type="spellStart"/>
            <w:r>
              <w:rPr>
                <w:i/>
              </w:rPr>
              <w:t>Die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Bestimmung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Menschen</w:t>
            </w:r>
            <w:proofErr w:type="spellEnd"/>
            <w:r>
              <w:rPr>
                <w:i/>
              </w:rPr>
              <w:t xml:space="preserve"> (1748-1800)</w:t>
            </w:r>
            <w:r>
              <w:t xml:space="preserve">. </w:t>
            </w:r>
            <w:proofErr w:type="spellStart"/>
            <w:r>
              <w:rPr>
                <w:i/>
              </w:rPr>
              <w:t>Eine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Begriffsgeschichte</w:t>
            </w:r>
            <w:proofErr w:type="spellEnd"/>
            <w:r>
              <w:rPr>
                <w:i/>
              </w:rPr>
              <w:t>.</w:t>
            </w:r>
            <w:r>
              <w:t xml:space="preserve"> Stuttgart-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Cannstatt</w:t>
            </w:r>
            <w:proofErr w:type="spellEnd"/>
            <w:r>
              <w:t xml:space="preserve">, </w:t>
            </w:r>
            <w:proofErr w:type="spellStart"/>
            <w:r>
              <w:t>Frommann-Holzboog</w:t>
            </w:r>
            <w:proofErr w:type="spellEnd"/>
            <w:r>
              <w:t>, 2013. 317–328.</w:t>
            </w:r>
          </w:p>
        </w:tc>
      </w:tr>
    </w:tbl>
    <w:p w14:paraId="6F24C93B" w14:textId="77777777" w:rsidR="000B689D" w:rsidRDefault="000B689D"/>
    <w:sectPr w:rsidR="000B689D">
      <w:pgSz w:w="11906" w:h="16838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C5DD" w14:textId="77777777" w:rsidR="000B689D" w:rsidRDefault="000B689D">
      <w:r>
        <w:separator/>
      </w:r>
    </w:p>
  </w:endnote>
  <w:endnote w:type="continuationSeparator" w:id="0">
    <w:p w14:paraId="7AE8C9FB" w14:textId="77777777" w:rsidR="000B689D" w:rsidRDefault="000B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0060" w14:textId="77777777" w:rsidR="000B689D" w:rsidRDefault="000B689D">
      <w:r>
        <w:separator/>
      </w:r>
    </w:p>
  </w:footnote>
  <w:footnote w:type="continuationSeparator" w:id="0">
    <w:p w14:paraId="57299A13" w14:textId="77777777" w:rsidR="000B689D" w:rsidRDefault="000B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47C"/>
    <w:multiLevelType w:val="multilevel"/>
    <w:tmpl w:val="A1F6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E7995"/>
    <w:multiLevelType w:val="multilevel"/>
    <w:tmpl w:val="170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4938918">
    <w:abstractNumId w:val="0"/>
  </w:num>
  <w:num w:numId="2" w16cid:durableId="1509170388">
    <w:abstractNumId w:val="1"/>
  </w:num>
  <w:num w:numId="3" w16cid:durableId="9226464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isplayBackgroundShape/>
  <w:proofState w:spelling="clean" w:grammar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4"/>
    <w:rsid w:val="00046FFB"/>
    <w:rsid w:val="000B689D"/>
    <w:rsid w:val="00106132"/>
    <w:rsid w:val="00294249"/>
    <w:rsid w:val="002D7824"/>
    <w:rsid w:val="003C2DCD"/>
    <w:rsid w:val="00486F43"/>
    <w:rsid w:val="0071247A"/>
    <w:rsid w:val="00A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23809"/>
  <w15:chartTrackingRefBased/>
  <w15:docId w15:val="{C8A2F207-5EB6-411A-AF23-2338DBAB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/>
      <w:u w:val="single"/>
    </w:rPr>
  </w:style>
  <w:style w:type="character" w:customStyle="1" w:styleId="Cmsor2Char">
    <w:name w:val="Címsor 2 Char"/>
    <w:basedOn w:val="Bekezdsalapbettpusa"/>
    <w:link w:val="Cmsor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eastAsiaTheme="minorEastAsia"/>
    </w:rPr>
  </w:style>
  <w:style w:type="paragraph" w:styleId="lfej">
    <w:name w:val="header"/>
    <w:basedOn w:val="Norml"/>
    <w:link w:val="lfejChar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locked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locked/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Pr>
      <w:sz w:val="24"/>
      <w:szCs w:val="24"/>
    </w:rPr>
  </w:style>
  <w:style w:type="paragraph" w:customStyle="1" w:styleId="western">
    <w:name w:val="western"/>
    <w:basedOn w:val="Norml"/>
    <w:semiHidden/>
  </w:style>
  <w:style w:type="character" w:customStyle="1" w:styleId="keretesures-alcim121">
    <w:name w:val="keretesures-alcim121"/>
    <w:basedOn w:val="Bekezdsalapbettpusa"/>
  </w:style>
  <w:style w:type="table" w:styleId="Rcsostblzat">
    <w:name w:val="Table Grid"/>
    <w:basedOn w:val="Normltblzat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ovszky@btk.ppk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kovszky@btk.ppk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ankovszky.tamas.btk.ppke.hu/okta/fichte-kerd-bestimmung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kovszky.tamas.btk.ppke.hu/szgy/bestimmung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7787</Characters>
  <Application>Microsoft Office Word</Application>
  <DocSecurity>0</DocSecurity>
  <Lines>64</Lines>
  <Paragraphs>17</Paragraphs>
  <ScaleCrop>false</ScaleCrop>
  <Company>Microsoft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Hankovszky Tamás</dc:title>
  <dc:subject/>
  <dc:creator>Hankovszky Tamás</dc:creator>
  <cp:keywords/>
  <dc:description/>
  <cp:lastModifiedBy>Hankovszky Tamás</cp:lastModifiedBy>
  <cp:revision>3</cp:revision>
  <dcterms:created xsi:type="dcterms:W3CDTF">2025-01-20T12:56:00Z</dcterms:created>
  <dcterms:modified xsi:type="dcterms:W3CDTF">2025-01-20T12:56:00Z</dcterms:modified>
</cp:coreProperties>
</file>