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W w:w="0" w:type="auto"/>
        <w:tblInd w:w="0" w:type="dxa"/>
        <w:tblLook w:val="01E0" w:firstRow="1" w:lastRow="1" w:firstColumn="1" w:lastColumn="1" w:noHBand="0" w:noVBand="0"/>
      </w:tblPr>
      <w:tblGrid>
        <w:gridCol w:w="10204"/>
      </w:tblGrid>
      <w:tr w:rsidR="00000000" w14:paraId="5546AD3E" w14:textId="77777777" w:rsidTr="007A394A">
        <w:tc>
          <w:tcPr>
            <w:tcW w:w="10204" w:type="dxa"/>
            <w:tcBorders>
              <w:top w:val="nil"/>
              <w:left w:val="nil"/>
              <w:bottom w:val="nil"/>
              <w:right w:val="nil"/>
            </w:tcBorders>
          </w:tcPr>
          <w:p w14:paraId="0DA6F08A" w14:textId="77777777" w:rsidR="00000000" w:rsidRDefault="00000000">
            <w:pPr>
              <w:jc w:val="center"/>
              <w:rPr>
                <w:b/>
              </w:rPr>
            </w:pPr>
            <w:r>
              <w:rPr>
                <w:b/>
              </w:rPr>
              <w:t>Politikai filozófia</w:t>
            </w:r>
          </w:p>
          <w:p w14:paraId="58668971" w14:textId="77777777" w:rsidR="00000000" w:rsidRDefault="00000000">
            <w:pPr>
              <w:jc w:val="center"/>
            </w:pPr>
            <w:r>
              <w:t>Modern politikai filozófiák</w:t>
            </w:r>
          </w:p>
          <w:p w14:paraId="70B38D70" w14:textId="77777777" w:rsidR="00000000" w:rsidRDefault="00000000">
            <w:pPr>
              <w:jc w:val="center"/>
            </w:pPr>
            <w:r>
              <w:t>Szövegolvasó szeminárium</w:t>
            </w:r>
          </w:p>
          <w:p w14:paraId="3345F647" w14:textId="77777777" w:rsidR="00000000" w:rsidRDefault="00000000">
            <w:pPr>
              <w:jc w:val="center"/>
            </w:pPr>
            <w:r>
              <w:t>BBNSF17300</w:t>
            </w:r>
          </w:p>
          <w:p w14:paraId="1E05CD8C" w14:textId="77777777" w:rsidR="00000000" w:rsidRDefault="00000000">
            <w:pPr>
              <w:jc w:val="center"/>
            </w:pPr>
            <w:r>
              <w:t>2024. ősz</w:t>
            </w:r>
          </w:p>
          <w:p w14:paraId="5FAB3FD6" w14:textId="77777777" w:rsidR="00000000" w:rsidRDefault="00000000">
            <w:pPr>
              <w:jc w:val="center"/>
            </w:pPr>
          </w:p>
          <w:p w14:paraId="47BCD5A0" w14:textId="77777777" w:rsidR="00000000" w:rsidRDefault="00000000">
            <w:pPr>
              <w:jc w:val="center"/>
              <w:rPr>
                <w:b/>
              </w:rPr>
            </w:pPr>
            <w:r>
              <w:rPr>
                <w:b/>
              </w:rPr>
              <w:t>KURZUSLEÍRÁS</w:t>
            </w:r>
          </w:p>
          <w:p w14:paraId="325C2FA5" w14:textId="77777777" w:rsidR="00000000" w:rsidRDefault="00000000">
            <w:pPr>
              <w:jc w:val="center"/>
            </w:pPr>
          </w:p>
          <w:p w14:paraId="159CA296" w14:textId="77777777" w:rsidR="00000000" w:rsidRDefault="00000000">
            <w:pPr>
              <w:jc w:val="both"/>
            </w:pPr>
          </w:p>
          <w:p w14:paraId="35161F92" w14:textId="77777777" w:rsidR="00000000" w:rsidRDefault="00000000">
            <w:pPr>
              <w:jc w:val="both"/>
            </w:pPr>
            <w:r>
              <w:t xml:space="preserve">A kurzus a politikai filozófia olyan témáiba nyújt betekintést az analitikus filozófiai hagyományhoz sorolható tanulmányok elemzése révén, mint az </w:t>
            </w:r>
            <w:r>
              <w:rPr>
                <w:i/>
              </w:rPr>
              <w:t>igazságosság</w:t>
            </w:r>
            <w:r>
              <w:t xml:space="preserve">, a </w:t>
            </w:r>
            <w:r>
              <w:rPr>
                <w:i/>
              </w:rPr>
              <w:t>jog</w:t>
            </w:r>
            <w:r>
              <w:t xml:space="preserve">, az </w:t>
            </w:r>
            <w:r>
              <w:rPr>
                <w:i/>
              </w:rPr>
              <w:t>autonómia</w:t>
            </w:r>
            <w:r>
              <w:t xml:space="preserve">, az </w:t>
            </w:r>
            <w:r>
              <w:rPr>
                <w:i/>
              </w:rPr>
              <w:t>autoritás</w:t>
            </w:r>
            <w:r>
              <w:t xml:space="preserve">, az </w:t>
            </w:r>
            <w:r>
              <w:rPr>
                <w:i/>
              </w:rPr>
              <w:t>egyenlőség</w:t>
            </w:r>
            <w:r>
              <w:t xml:space="preserve">, a </w:t>
            </w:r>
            <w:r>
              <w:rPr>
                <w:i/>
              </w:rPr>
              <w:t>haszonelvűség</w:t>
            </w:r>
            <w:r>
              <w:t>.</w:t>
            </w:r>
          </w:p>
          <w:p w14:paraId="2CC5FE08" w14:textId="77777777" w:rsidR="00000000" w:rsidRDefault="00000000">
            <w:pPr>
              <w:jc w:val="both"/>
            </w:pPr>
          </w:p>
          <w:p w14:paraId="42AF3227" w14:textId="77777777" w:rsidR="00000000" w:rsidRDefault="00000000">
            <w:pPr>
              <w:jc w:val="both"/>
            </w:pPr>
            <w:r>
              <w:rPr>
                <w:b/>
              </w:rPr>
              <w:t>Oktató</w:t>
            </w:r>
            <w:r>
              <w:t>: Hankovszky Tamás (</w:t>
            </w:r>
            <w:hyperlink r:id="rId5" w:history="1">
              <w:r>
                <w:rPr>
                  <w:rStyle w:val="Hiperhivatkozs"/>
                </w:rPr>
                <w:t>tamas@hankovszky.com</w:t>
              </w:r>
            </w:hyperlink>
            <w:r>
              <w:t>)</w:t>
            </w:r>
          </w:p>
          <w:p w14:paraId="5623D350" w14:textId="77777777" w:rsidR="00000000" w:rsidRDefault="00000000">
            <w:pPr>
              <w:jc w:val="both"/>
            </w:pPr>
            <w:r>
              <w:rPr>
                <w:b/>
              </w:rPr>
              <w:t>Időpont</w:t>
            </w:r>
            <w:r>
              <w:t>: kedd 8.15 – 9.45</w:t>
            </w:r>
          </w:p>
          <w:p w14:paraId="376E9967" w14:textId="77777777" w:rsidR="00000000" w:rsidRDefault="00000000">
            <w:pPr>
              <w:jc w:val="both"/>
            </w:pPr>
            <w:r>
              <w:rPr>
                <w:b/>
              </w:rPr>
              <w:t>Hely</w:t>
            </w:r>
            <w:r>
              <w:t>: 411</w:t>
            </w:r>
          </w:p>
          <w:p w14:paraId="28FFC921" w14:textId="77777777" w:rsidR="00000000" w:rsidRDefault="00000000">
            <w:pPr>
              <w:jc w:val="both"/>
            </w:pPr>
          </w:p>
          <w:p w14:paraId="77D3C01D" w14:textId="77777777" w:rsidR="00000000" w:rsidRDefault="00000000">
            <w:pPr>
              <w:jc w:val="both"/>
              <w:rPr>
                <w:b/>
              </w:rPr>
            </w:pPr>
            <w:r>
              <w:rPr>
                <w:b/>
              </w:rPr>
              <w:t>Munkamódszer</w:t>
            </w:r>
          </w:p>
          <w:p w14:paraId="117E2388" w14:textId="77777777" w:rsidR="00000000" w:rsidRDefault="00000000">
            <w:pPr>
              <w:jc w:val="both"/>
            </w:pPr>
            <w:r>
              <w:t xml:space="preserve">A szeminárium a hallgatók otthoni és órai aktivitására épülő oktatási forma. Az órák a résztvevők tanári irányítással folyó beszélgetésével telnek, mert ez hatékonyabb, mint a hallgatói referátumokra épülő szeminárium. Így a foglalkozások látogatása, a csapatmunka és a hétről-hétre való készülés elengedhetetlen. Az órákat a kijelölt szövegek feldolgozásának szenteljük. Ideális esetben az óra két részből áll majd. Először rekonstruáljuk az olvasott szerző gondolatmenetét. Második lépésben megkíséreljük az így nyert tételeket és érveket értékelni és más szerzők álláspontjával összevetni. A szövegek rekonstruálását rendszerint azzal kezdjünk, hogy elkülönítjük egymástól gondolati egységeit, és minden egységgel kapcsolatban megpróbálunk válaszolni három alapvető kérdésre. 1. Miről szól (mi lehetne a címe)? 2. Mit állít azzal kapcsolatban, amiről szól (milyen tételt fogalmaz meg)? 3. Miért fontos ez az állítás a szöveg által megvalósítani kívánt projekt szempontjából? Ezért az órára való készülés terjedjen ki a szöveg tagolására és e kérdések megválaszolására. A foglalkozásra a kijelölt szöveget mindenki </w:t>
            </w:r>
            <w:r>
              <w:rPr>
                <w:i/>
              </w:rPr>
              <w:t>kinyomtatott formában</w:t>
            </w:r>
            <w:r>
              <w:t xml:space="preserve"> hozza magával! Telefonon, tableten hozott szöveg nem megfelelő.</w:t>
            </w:r>
          </w:p>
          <w:p w14:paraId="2F25C9C9" w14:textId="77777777" w:rsidR="00000000" w:rsidRDefault="00000000">
            <w:pPr>
              <w:jc w:val="both"/>
            </w:pPr>
          </w:p>
          <w:p w14:paraId="57BAF265" w14:textId="77777777" w:rsidR="00000000" w:rsidRDefault="00000000">
            <w:pPr>
              <w:jc w:val="both"/>
            </w:pPr>
            <w:r>
              <w:rPr>
                <w:b/>
                <w:bCs/>
              </w:rPr>
              <w:t>Követelmények</w:t>
            </w:r>
          </w:p>
          <w:p w14:paraId="39F1E662" w14:textId="77777777" w:rsidR="00000000" w:rsidRDefault="00000000">
            <w:pPr>
              <w:jc w:val="both"/>
            </w:pPr>
            <w:r>
              <w:t>A hallgatók a félév végén aláírást és gyakorlati jegyet kaphatnak. A foglalkozásokon való aktív részvétel mindegyiknek feltétele. A gyakorlati jegyet a minidolgozatok és az otthoni készülésre épülő órai munka határozzák meg. Ha ezek közül bármelyik elégtelen, a félév végi jegy is elégtelen.</w:t>
            </w:r>
          </w:p>
          <w:p w14:paraId="10200157" w14:textId="77777777" w:rsidR="00000000" w:rsidRDefault="00000000">
            <w:pPr>
              <w:jc w:val="both"/>
            </w:pPr>
            <w:r>
              <w:rPr>
                <w:u w:val="single"/>
              </w:rPr>
              <w:t xml:space="preserve">Hiányzás </w:t>
            </w:r>
            <w:r>
              <w:t>A szemináriumokon a részvétel kötelező. A maximális hiányzási lehetőség 4x45 perc. Ennél több hiányzás esetén a kurzusra nem jár aláírás (így jegy sem). „Igazolt” és „igazolatlan” hiányzás között nincs különbség.</w:t>
            </w:r>
            <w:r>
              <w:rPr>
                <w:u w:val="single"/>
              </w:rPr>
              <w:t xml:space="preserve"> </w:t>
            </w:r>
          </w:p>
          <w:p w14:paraId="36E021E0" w14:textId="77777777" w:rsidR="00000000" w:rsidRDefault="00000000">
            <w:pPr>
              <w:jc w:val="both"/>
            </w:pPr>
            <w:r>
              <w:rPr>
                <w:u w:val="single"/>
              </w:rPr>
              <w:t>Órai munka</w:t>
            </w:r>
            <w:r>
              <w:t xml:space="preserve"> Senki nem teljesítheti a kurzust anélkül, hogy bekapcsolódna az órákon folyó szakmai beszélgetésbe!</w:t>
            </w:r>
          </w:p>
          <w:p w14:paraId="4F805BDA" w14:textId="77777777" w:rsidR="00000000" w:rsidRDefault="00000000">
            <w:pPr>
              <w:jc w:val="both"/>
            </w:pPr>
            <w:r>
              <w:rPr>
                <w:u w:val="single"/>
              </w:rPr>
              <w:t>Minidolgozat</w:t>
            </w:r>
            <w:r>
              <w:t xml:space="preserve"> A második héttől kezdve (az utolsót leszámítva) minden órára minidolgozatot kell írni.</w:t>
            </w:r>
          </w:p>
          <w:p w14:paraId="0A508CFF" w14:textId="77777777" w:rsidR="00000000" w:rsidRDefault="00000000">
            <w:pPr>
              <w:jc w:val="both"/>
            </w:pPr>
            <w:r>
              <w:rPr>
                <w:i/>
                <w:iCs/>
              </w:rPr>
              <w:t>Téma</w:t>
            </w:r>
            <w:r>
              <w:t>: a soron következő szöveg tartalmának összefoglalója. (Ha egy szöveget két héten át tárgyalunk, az első hétre az egészet, a második hétre egy megadott részét kell összefoglalni.) Egyszerűen (és leegyszerűsítően) mesélje el, miről szól a szöveg, mik a főbb tézisei, milyen nagyobb egységekből épül fel stb. A feladat tehát nem az, hogy a minidolgozat önállóan feldolgozza ugyanazt a témát, amelyről a szerző is beszélt, vagy arról mondjon valamit, hogy hogyan beszélt róla, hanem hogy a lehető legpontosabban adja vissza azt, amit mondott. Természetesen ez is interpretációt követel, hisz a szerző mondandójának lényegét kell megragadni. Mivel olykor egészen hosszú szövegeket kell röviden összefoglalni, a dolgozat értékelésnek egyik fontos szempontja, mennyire sikerült a lényeges pontokat kiemelnie.</w:t>
            </w:r>
          </w:p>
          <w:p w14:paraId="4F3DBB19" w14:textId="77777777" w:rsidR="00000000" w:rsidRDefault="00000000">
            <w:pPr>
              <w:jc w:val="both"/>
            </w:pPr>
            <w:r>
              <w:rPr>
                <w:i/>
                <w:iCs/>
              </w:rPr>
              <w:t>Leadási határidő</w:t>
            </w:r>
            <w:r>
              <w:t xml:space="preserve"> (kinyomtatva </w:t>
            </w:r>
            <w:r>
              <w:rPr>
                <w:i/>
                <w:iCs/>
              </w:rPr>
              <w:t>és</w:t>
            </w:r>
            <w:r>
              <w:t xml:space="preserve"> elektronikusan is be kell adni):</w:t>
            </w:r>
          </w:p>
          <w:p w14:paraId="0E3F8B39" w14:textId="77777777" w:rsidR="00000000" w:rsidRDefault="00000000">
            <w:pPr>
              <w:jc w:val="both"/>
            </w:pPr>
            <w:r>
              <w:t>elektronikusan: az adott órát megelőző hétfő 22.00 óra (</w:t>
            </w:r>
            <w:hyperlink r:id="rId6" w:history="1">
              <w:r>
                <w:rPr>
                  <w:rStyle w:val="Hiperhivatkozs"/>
                </w:rPr>
                <w:t>hankovszky@btk.ppke.hu</w:t>
              </w:r>
            </w:hyperlink>
            <w:r>
              <w:t>)</w:t>
            </w:r>
          </w:p>
          <w:p w14:paraId="36CCB4B7" w14:textId="77777777" w:rsidR="00000000" w:rsidRDefault="00000000">
            <w:pPr>
              <w:ind w:left="1029"/>
              <w:jc w:val="both"/>
            </w:pPr>
            <w:r>
              <w:rPr>
                <w:bCs/>
              </w:rPr>
              <w:t>és</w:t>
            </w:r>
          </w:p>
          <w:p w14:paraId="663DB45C" w14:textId="77777777" w:rsidR="00000000" w:rsidRDefault="00000000">
            <w:pPr>
              <w:jc w:val="both"/>
            </w:pPr>
            <w:r>
              <w:t>kinyomtatva: az adott órán</w:t>
            </w:r>
          </w:p>
          <w:p w14:paraId="683D0C21" w14:textId="77777777" w:rsidR="00000000" w:rsidRDefault="00000000">
            <w:pPr>
              <w:jc w:val="both"/>
            </w:pPr>
            <w:r>
              <w:t>A határidő után leadott dolgozatok elmulasztottnak számítanak.</w:t>
            </w:r>
          </w:p>
          <w:p w14:paraId="09073E9C" w14:textId="77777777" w:rsidR="00000000" w:rsidRDefault="00000000">
            <w:pPr>
              <w:jc w:val="both"/>
            </w:pPr>
            <w:r>
              <w:lastRenderedPageBreak/>
              <w:t>Az elmulasztható dolgozatok megengedett száma 3. Ennél több mulasztás esetén a kurzusra nem jár aláírás (így jegy sem).</w:t>
            </w:r>
          </w:p>
          <w:p w14:paraId="75F99A5F" w14:textId="77777777" w:rsidR="00000000" w:rsidRDefault="00000000">
            <w:pPr>
              <w:jc w:val="both"/>
            </w:pPr>
            <w:r>
              <w:t>A leadott minidolgozatnak el kell érnie egy bizonyos minőséget ahhoz, hogy ne számítson elmulasztottnak (hanem legalább elégtelennek). Nehéz egzakt módon definiálni, hogy milyen szintet. A leadott szövegből mindenesetre ki kell derülnie, hogy készítője legalábbis elolvasta és alapszinten megértette az elemzett szöveget. Ha pl. az összefoglaló csak a szöveg első feléről számol be, ez a feltétel nem teljesül. Az is fontos, hogy az egyes hallgatók által leadott dolgozatok eléggé különbözzenek egymástól, ne egymás átfogalmazásai legyenek.</w:t>
            </w:r>
          </w:p>
          <w:p w14:paraId="03A41518" w14:textId="77777777" w:rsidR="00000000" w:rsidRDefault="00000000">
            <w:pPr>
              <w:jc w:val="both"/>
            </w:pPr>
            <w:r>
              <w:t>Az elmulasztott minidolgozat „nullásnak” számít, ám a három legrosszabb jegy (legyen az elmulasztás vagy bármi más következménye) a félév végi jegybe nem számít bele.</w:t>
            </w:r>
          </w:p>
          <w:p w14:paraId="48C9E075" w14:textId="77777777" w:rsidR="00000000" w:rsidRDefault="00000000">
            <w:pPr>
              <w:jc w:val="both"/>
            </w:pPr>
            <w:r>
              <w:t xml:space="preserve">A minidolgozat </w:t>
            </w:r>
            <w:r>
              <w:rPr>
                <w:i/>
                <w:iCs/>
              </w:rPr>
              <w:t>formai követelményei</w:t>
            </w:r>
            <w:r>
              <w:t>:</w:t>
            </w:r>
          </w:p>
          <w:p w14:paraId="03B4BED3" w14:textId="77777777" w:rsidR="00000000" w:rsidRDefault="00000000">
            <w:pPr>
              <w:numPr>
                <w:ilvl w:val="0"/>
                <w:numId w:val="3"/>
              </w:numPr>
              <w:jc w:val="both"/>
            </w:pPr>
            <w:r>
              <w:t>Címe az ismertetett szöveg címe legyen!</w:t>
            </w:r>
          </w:p>
          <w:p w14:paraId="480961B8" w14:textId="77777777" w:rsidR="00000000" w:rsidRDefault="00000000">
            <w:pPr>
              <w:numPr>
                <w:ilvl w:val="0"/>
                <w:numId w:val="3"/>
              </w:numPr>
              <w:jc w:val="both"/>
            </w:pPr>
            <w:r>
              <w:t>Terjedelme szóközökkel együtt minimum 2800, maximum 3000 karakter (kb. egy oldal) legyen! A betűméret, a sorköz vagy a margók beállításával formálja úgy a szöveget, hogy egy-egy minidolgozat férjen el egy oldalon, és esztétikusan töltse ki azt!</w:t>
            </w:r>
          </w:p>
          <w:p w14:paraId="2AF6AB1C" w14:textId="77777777" w:rsidR="00000000" w:rsidRDefault="00000000">
            <w:pPr>
              <w:numPr>
                <w:ilvl w:val="0"/>
                <w:numId w:val="3"/>
              </w:numPr>
              <w:jc w:val="both"/>
            </w:pPr>
            <w:r>
              <w:t xml:space="preserve">A szöveg legyen folytonos (tehát nem vázlatpontokból álló)! Legfeljebb </w:t>
            </w:r>
            <w:r>
              <w:rPr>
                <w:i/>
              </w:rPr>
              <w:t>négy</w:t>
            </w:r>
            <w:r>
              <w:t xml:space="preserve"> bekezdésre tagolódjon!</w:t>
            </w:r>
          </w:p>
          <w:p w14:paraId="540F0DCA" w14:textId="77777777" w:rsidR="00000000" w:rsidRDefault="00000000">
            <w:pPr>
              <w:numPr>
                <w:ilvl w:val="0"/>
                <w:numId w:val="3"/>
              </w:numPr>
              <w:jc w:val="both"/>
            </w:pPr>
            <w:r>
              <w:t xml:space="preserve">Mindenféle bevezető nélkül </w:t>
            </w:r>
            <w:proofErr w:type="spellStart"/>
            <w:r>
              <w:t>kezdődjön</w:t>
            </w:r>
            <w:proofErr w:type="spellEnd"/>
            <w:r>
              <w:t xml:space="preserve"> azonnal a kijelölt szöveg tartalmának ismertetésével!</w:t>
            </w:r>
          </w:p>
          <w:p w14:paraId="6090D632" w14:textId="77777777" w:rsidR="00000000" w:rsidRDefault="00000000">
            <w:pPr>
              <w:numPr>
                <w:ilvl w:val="0"/>
                <w:numId w:val="3"/>
              </w:numPr>
              <w:jc w:val="both"/>
            </w:pPr>
            <w:r>
              <w:t>A bemutatott gondolatokat ne értékelje!</w:t>
            </w:r>
          </w:p>
          <w:p w14:paraId="2F7637DF" w14:textId="77777777" w:rsidR="00000000" w:rsidRDefault="00000000">
            <w:pPr>
              <w:numPr>
                <w:ilvl w:val="0"/>
                <w:numId w:val="3"/>
              </w:numPr>
              <w:jc w:val="both"/>
            </w:pPr>
            <w:r>
              <w:t>Alcímeket ne tartalmazzon!</w:t>
            </w:r>
          </w:p>
          <w:p w14:paraId="654A3B94" w14:textId="77777777" w:rsidR="00000000" w:rsidRDefault="00000000">
            <w:pPr>
              <w:numPr>
                <w:ilvl w:val="0"/>
                <w:numId w:val="3"/>
              </w:numPr>
              <w:jc w:val="both"/>
            </w:pPr>
            <w:r>
              <w:t>Bibliográfiát ne tartalmazzon!</w:t>
            </w:r>
          </w:p>
          <w:p w14:paraId="6BDC873D" w14:textId="77777777" w:rsidR="00000000" w:rsidRDefault="00000000">
            <w:pPr>
              <w:numPr>
                <w:ilvl w:val="0"/>
                <w:numId w:val="3"/>
              </w:numPr>
              <w:jc w:val="both"/>
            </w:pPr>
            <w:r>
              <w:t>Lábjegyzeteket ne tartalmazzon!</w:t>
            </w:r>
          </w:p>
          <w:p w14:paraId="063D0D46" w14:textId="77777777" w:rsidR="00000000" w:rsidRDefault="00000000">
            <w:pPr>
              <w:numPr>
                <w:ilvl w:val="0"/>
                <w:numId w:val="3"/>
              </w:numPr>
              <w:jc w:val="both"/>
            </w:pPr>
            <w:r>
              <w:t>Egy-egy szintagmánál hosszabb idézeteket ne tartalmazzon!</w:t>
            </w:r>
          </w:p>
          <w:p w14:paraId="6F32EF4C" w14:textId="77777777" w:rsidR="00000000" w:rsidRDefault="00000000">
            <w:pPr>
              <w:numPr>
                <w:ilvl w:val="0"/>
                <w:numId w:val="3"/>
              </w:numPr>
              <w:jc w:val="both"/>
            </w:pPr>
            <w:r>
              <w:t>A szöveget elektronikusan .</w:t>
            </w:r>
            <w:proofErr w:type="spellStart"/>
            <w:r>
              <w:t>doc</w:t>
            </w:r>
            <w:proofErr w:type="spellEnd"/>
            <w:r>
              <w:t xml:space="preserve"> vagy .</w:t>
            </w:r>
            <w:proofErr w:type="spellStart"/>
            <w:r>
              <w:t>docx</w:t>
            </w:r>
            <w:proofErr w:type="spellEnd"/>
            <w:r>
              <w:t xml:space="preserve"> formátumban kell beadni (más formátumot, pl. PDF nem fogadok el).</w:t>
            </w:r>
          </w:p>
          <w:p w14:paraId="101331A5" w14:textId="77777777" w:rsidR="00000000" w:rsidRDefault="00000000">
            <w:pPr>
              <w:numPr>
                <w:ilvl w:val="0"/>
                <w:numId w:val="3"/>
              </w:numPr>
              <w:jc w:val="both"/>
            </w:pPr>
            <w:r>
              <w:t xml:space="preserve">A fájl címe két szóból álljon: a dolgozat írójának nevéből és a feldolgozott mű szerzőjének nevéből (pl. Hankovszky – </w:t>
            </w:r>
            <w:proofErr w:type="spellStart"/>
            <w:r>
              <w:t>Rawls</w:t>
            </w:r>
            <w:proofErr w:type="spellEnd"/>
            <w:r>
              <w:t>)</w:t>
            </w:r>
          </w:p>
          <w:p w14:paraId="4B64444F" w14:textId="77777777" w:rsidR="00000000" w:rsidRDefault="00000000">
            <w:pPr>
              <w:jc w:val="both"/>
            </w:pPr>
            <w:r>
              <w:t>A formailag nem megfelelő, (elektronikusan vagy nyomtatva) késve érkezett vagy a Word által is jelzett helyesírási hibákat tartalmazó dolgozatokat olvasatlanul elutasítom, és elmulasztottnak minősítem.</w:t>
            </w:r>
          </w:p>
          <w:p w14:paraId="609D5B78" w14:textId="77777777" w:rsidR="00000000" w:rsidRDefault="00000000">
            <w:pPr>
              <w:jc w:val="both"/>
            </w:pPr>
          </w:p>
          <w:p w14:paraId="0FCB0375" w14:textId="77777777" w:rsidR="00000000" w:rsidRDefault="00000000">
            <w:pPr>
              <w:jc w:val="both"/>
              <w:rPr>
                <w:b/>
              </w:rPr>
            </w:pPr>
            <w:r>
              <w:rPr>
                <w:b/>
              </w:rPr>
              <w:t>Tankönyv</w:t>
            </w:r>
          </w:p>
          <w:p w14:paraId="7A505274" w14:textId="77777777" w:rsidR="00000000" w:rsidRDefault="00000000">
            <w:pPr>
              <w:jc w:val="both"/>
            </w:pPr>
            <w:proofErr w:type="spellStart"/>
            <w:r>
              <w:t>Huoranszki</w:t>
            </w:r>
            <w:proofErr w:type="spellEnd"/>
            <w:r>
              <w:t xml:space="preserve"> Ferenc (szerk.): </w:t>
            </w:r>
            <w:hyperlink r:id="rId7" w:tooltip="https://www.szaktars.hu/osiris/view/huoranszki-ferenc-szerk-modern-politikai-filozofia-szemeszter-1998/?pg=0&amp;layout=l" w:history="1">
              <w:r>
                <w:rPr>
                  <w:rStyle w:val="Hiperhivatkozs"/>
                  <w:i/>
                </w:rPr>
                <w:t>Modern politikai filozófia</w:t>
              </w:r>
            </w:hyperlink>
            <w:r>
              <w:t>. Budapest, Osiris-Láthatatlan Kollégium, 1998. (A szaktars.hu anyagai az egyetem vagy bizonyos könyvtárak (pl. FSZEK) hálózatából elérhetők és letölthetők.)</w:t>
            </w:r>
          </w:p>
          <w:p w14:paraId="767819C2" w14:textId="77777777" w:rsidR="00000000" w:rsidRDefault="00000000">
            <w:pPr>
              <w:ind w:left="318" w:hanging="284"/>
            </w:pPr>
          </w:p>
          <w:p w14:paraId="78811DC9" w14:textId="77777777" w:rsidR="00000000" w:rsidRDefault="00000000">
            <w:pPr>
              <w:ind w:left="318" w:hanging="284"/>
              <w:rPr>
                <w:b/>
              </w:rPr>
            </w:pPr>
            <w:r>
              <w:rPr>
                <w:b/>
              </w:rPr>
              <w:t>A tervezett menetrend</w:t>
            </w:r>
          </w:p>
          <w:p w14:paraId="0C60A108" w14:textId="77777777" w:rsidR="00000000" w:rsidRDefault="00000000">
            <w:pPr>
              <w:ind w:left="34"/>
            </w:pPr>
            <w:r>
              <w:t>Az időbeosztás és az olvasnivalók a félév folyamán változhatnak. Ezért az órákra való készülést ajánlott mindig a kurzus honlapjának felkeresésével kezdeni.</w:t>
            </w:r>
          </w:p>
          <w:tbl>
            <w:tblPr>
              <w:tblW w:w="9293" w:type="dxa"/>
              <w:tblCellMar>
                <w:left w:w="0" w:type="dxa"/>
                <w:right w:w="0" w:type="dxa"/>
              </w:tblCellMar>
              <w:tblLook w:val="04A0" w:firstRow="1" w:lastRow="0" w:firstColumn="1" w:lastColumn="0" w:noHBand="0" w:noVBand="1"/>
            </w:tblPr>
            <w:tblGrid>
              <w:gridCol w:w="1021"/>
              <w:gridCol w:w="8272"/>
            </w:tblGrid>
            <w:tr w:rsidR="00000000" w14:paraId="1C20634A" w14:textId="77777777">
              <w:tc>
                <w:tcPr>
                  <w:tcW w:w="1021" w:type="dxa"/>
                  <w:tcBorders>
                    <w:top w:val="dotted" w:sz="6" w:space="0" w:color="808080"/>
                    <w:left w:val="dotted" w:sz="6" w:space="0" w:color="808080"/>
                    <w:bottom w:val="dotted" w:sz="6" w:space="0" w:color="808080"/>
                    <w:right w:val="dotted" w:sz="6" w:space="0" w:color="808080"/>
                  </w:tcBorders>
                  <w:hideMark/>
                </w:tcPr>
                <w:p w14:paraId="720E70DE" w14:textId="77777777" w:rsidR="00000000" w:rsidRDefault="00000000">
                  <w:pPr>
                    <w:pStyle w:val="Szvegtrzs"/>
                    <w:rPr>
                      <w:sz w:val="22"/>
                      <w:szCs w:val="22"/>
                    </w:rPr>
                  </w:pPr>
                  <w:r>
                    <w:rPr>
                      <w:sz w:val="22"/>
                      <w:szCs w:val="22"/>
                    </w:rPr>
                    <w:t>9.10.</w:t>
                  </w:r>
                </w:p>
              </w:tc>
              <w:tc>
                <w:tcPr>
                  <w:tcW w:w="8272" w:type="dxa"/>
                  <w:tcBorders>
                    <w:top w:val="dotted" w:sz="6" w:space="0" w:color="808080"/>
                    <w:left w:val="dotted" w:sz="6" w:space="0" w:color="808080"/>
                    <w:bottom w:val="dotted" w:sz="6" w:space="0" w:color="808080"/>
                    <w:right w:val="dotted" w:sz="6" w:space="0" w:color="808080"/>
                  </w:tcBorders>
                  <w:hideMark/>
                </w:tcPr>
                <w:p w14:paraId="2F0CE0FF" w14:textId="77777777" w:rsidR="00000000" w:rsidRDefault="00000000">
                  <w:pPr>
                    <w:ind w:left="318" w:hanging="284"/>
                  </w:pPr>
                  <w:r>
                    <w:t xml:space="preserve">kurzusmegbeszélés, bevezető megfontolások </w:t>
                  </w:r>
                </w:p>
              </w:tc>
            </w:tr>
            <w:tr w:rsidR="00000000" w14:paraId="62C59A4B" w14:textId="77777777">
              <w:tc>
                <w:tcPr>
                  <w:tcW w:w="1021" w:type="dxa"/>
                  <w:tcBorders>
                    <w:top w:val="dotted" w:sz="6" w:space="0" w:color="808080"/>
                    <w:left w:val="dotted" w:sz="6" w:space="0" w:color="808080"/>
                    <w:bottom w:val="dotted" w:sz="6" w:space="0" w:color="808080"/>
                    <w:right w:val="dotted" w:sz="6" w:space="0" w:color="808080"/>
                  </w:tcBorders>
                  <w:hideMark/>
                </w:tcPr>
                <w:p w14:paraId="218DE0C1" w14:textId="77777777" w:rsidR="00000000" w:rsidRDefault="00000000">
                  <w:pPr>
                    <w:pStyle w:val="Szvegtrzs"/>
                    <w:rPr>
                      <w:sz w:val="22"/>
                      <w:szCs w:val="22"/>
                    </w:rPr>
                  </w:pPr>
                  <w:r>
                    <w:rPr>
                      <w:sz w:val="22"/>
                      <w:szCs w:val="22"/>
                    </w:rPr>
                    <w:t>9.17.</w:t>
                  </w:r>
                </w:p>
              </w:tc>
              <w:tc>
                <w:tcPr>
                  <w:tcW w:w="8272" w:type="dxa"/>
                  <w:tcBorders>
                    <w:top w:val="dotted" w:sz="6" w:space="0" w:color="808080"/>
                    <w:left w:val="dotted" w:sz="6" w:space="0" w:color="808080"/>
                    <w:bottom w:val="dotted" w:sz="6" w:space="0" w:color="808080"/>
                    <w:right w:val="dotted" w:sz="6" w:space="0" w:color="808080"/>
                  </w:tcBorders>
                  <w:hideMark/>
                </w:tcPr>
                <w:p w14:paraId="5AF421E8" w14:textId="77777777" w:rsidR="00000000" w:rsidRDefault="00000000" w:rsidP="00BF3025">
                  <w:pPr>
                    <w:ind w:left="276" w:hanging="242"/>
                  </w:pPr>
                  <w:proofErr w:type="spellStart"/>
                  <w:r>
                    <w:t>Rawls</w:t>
                  </w:r>
                  <w:proofErr w:type="spellEnd"/>
                  <w:r>
                    <w:t xml:space="preserve"> 1. – </w:t>
                  </w:r>
                  <w:hyperlink r:id="rId8" w:tooltip="http://hankovszky.tamas.btk.ppke.hu/okta/kerd-rawls.docx" w:history="1">
                    <w:r>
                      <w:rPr>
                        <w:rStyle w:val="Hiperhivatkozs"/>
                      </w:rPr>
                      <w:t>Kérdések a szöveghez</w:t>
                    </w:r>
                  </w:hyperlink>
                </w:p>
              </w:tc>
            </w:tr>
            <w:tr w:rsidR="00000000" w14:paraId="4F7F08F9" w14:textId="77777777">
              <w:tc>
                <w:tcPr>
                  <w:tcW w:w="1021" w:type="dxa"/>
                  <w:tcBorders>
                    <w:top w:val="dotted" w:sz="6" w:space="0" w:color="808080"/>
                    <w:left w:val="dotted" w:sz="6" w:space="0" w:color="808080"/>
                    <w:bottom w:val="dotted" w:sz="6" w:space="0" w:color="808080"/>
                    <w:right w:val="dotted" w:sz="6" w:space="0" w:color="808080"/>
                  </w:tcBorders>
                  <w:hideMark/>
                </w:tcPr>
                <w:p w14:paraId="51BD275B" w14:textId="77777777" w:rsidR="00000000" w:rsidRDefault="00000000">
                  <w:pPr>
                    <w:pStyle w:val="Szvegtrzs"/>
                    <w:rPr>
                      <w:sz w:val="22"/>
                      <w:szCs w:val="22"/>
                    </w:rPr>
                  </w:pPr>
                  <w:r>
                    <w:rPr>
                      <w:sz w:val="22"/>
                      <w:szCs w:val="22"/>
                    </w:rPr>
                    <w:t>9.24.</w:t>
                  </w:r>
                </w:p>
              </w:tc>
              <w:tc>
                <w:tcPr>
                  <w:tcW w:w="8272" w:type="dxa"/>
                  <w:tcBorders>
                    <w:top w:val="dotted" w:sz="6" w:space="0" w:color="808080"/>
                    <w:left w:val="dotted" w:sz="6" w:space="0" w:color="808080"/>
                    <w:bottom w:val="dotted" w:sz="6" w:space="0" w:color="808080"/>
                    <w:right w:val="dotted" w:sz="6" w:space="0" w:color="808080"/>
                  </w:tcBorders>
                  <w:hideMark/>
                </w:tcPr>
                <w:p w14:paraId="609BAE6A" w14:textId="77777777" w:rsidR="00000000" w:rsidRDefault="00000000" w:rsidP="00BF3025">
                  <w:pPr>
                    <w:ind w:left="276" w:hanging="242"/>
                    <w:rPr>
                      <w:sz w:val="22"/>
                      <w:szCs w:val="22"/>
                    </w:rPr>
                  </w:pPr>
                  <w:proofErr w:type="spellStart"/>
                  <w:r>
                    <w:t>Rawls</w:t>
                  </w:r>
                  <w:proofErr w:type="spellEnd"/>
                  <w:r>
                    <w:t xml:space="preserve"> 1. –  </w:t>
                  </w:r>
                  <w:hyperlink r:id="rId9" w:tooltip="http://hankovszky.tamas.btk.ppke.hu/okta/kerd-rawls.docx" w:history="1">
                    <w:r>
                      <w:rPr>
                        <w:rStyle w:val="Hiperhivatkozs"/>
                      </w:rPr>
                      <w:t>Kérdések a szöveghez</w:t>
                    </w:r>
                  </w:hyperlink>
                  <w:r>
                    <w:rPr>
                      <w:b/>
                    </w:rPr>
                    <w:t xml:space="preserve"> </w:t>
                  </w:r>
                </w:p>
              </w:tc>
            </w:tr>
            <w:tr w:rsidR="00000000" w14:paraId="605F1C92" w14:textId="77777777">
              <w:tc>
                <w:tcPr>
                  <w:tcW w:w="1021" w:type="dxa"/>
                  <w:tcBorders>
                    <w:top w:val="dotted" w:sz="6" w:space="0" w:color="808080"/>
                    <w:left w:val="dotted" w:sz="6" w:space="0" w:color="808080"/>
                    <w:bottom w:val="dotted" w:sz="6" w:space="0" w:color="808080"/>
                    <w:right w:val="dotted" w:sz="6" w:space="0" w:color="808080"/>
                  </w:tcBorders>
                  <w:hideMark/>
                </w:tcPr>
                <w:p w14:paraId="57882AF2" w14:textId="77777777" w:rsidR="00000000" w:rsidRDefault="00000000">
                  <w:pPr>
                    <w:pStyle w:val="Buborkszveg"/>
                    <w:rPr>
                      <w:rFonts w:ascii="Times New Roman" w:hAnsi="Times New Roman" w:cs="Times New Roman"/>
                      <w:sz w:val="22"/>
                      <w:szCs w:val="22"/>
                    </w:rPr>
                  </w:pPr>
                  <w:r>
                    <w:rPr>
                      <w:rFonts w:ascii="Times New Roman" w:hAnsi="Times New Roman" w:cs="Times New Roman"/>
                      <w:sz w:val="22"/>
                      <w:szCs w:val="22"/>
                    </w:rPr>
                    <w:t>10.1.</w:t>
                  </w:r>
                </w:p>
              </w:tc>
              <w:tc>
                <w:tcPr>
                  <w:tcW w:w="8272" w:type="dxa"/>
                  <w:tcBorders>
                    <w:top w:val="dotted" w:sz="6" w:space="0" w:color="808080"/>
                    <w:left w:val="dotted" w:sz="6" w:space="0" w:color="808080"/>
                    <w:bottom w:val="dotted" w:sz="6" w:space="0" w:color="808080"/>
                    <w:right w:val="dotted" w:sz="6" w:space="0" w:color="808080"/>
                  </w:tcBorders>
                  <w:hideMark/>
                </w:tcPr>
                <w:p w14:paraId="1DE474BC" w14:textId="77777777" w:rsidR="00000000" w:rsidRDefault="00000000" w:rsidP="00BF3025">
                  <w:pPr>
                    <w:ind w:left="276" w:hanging="242"/>
                    <w:rPr>
                      <w:sz w:val="22"/>
                      <w:szCs w:val="22"/>
                    </w:rPr>
                  </w:pPr>
                  <w:proofErr w:type="spellStart"/>
                  <w:proofErr w:type="gramStart"/>
                  <w:r>
                    <w:t>Nagel</w:t>
                  </w:r>
                  <w:proofErr w:type="spellEnd"/>
                  <w:r>
                    <w:t xml:space="preserve">  –</w:t>
                  </w:r>
                  <w:proofErr w:type="gramEnd"/>
                  <w:r>
                    <w:t xml:space="preserve">  </w:t>
                  </w:r>
                  <w:hyperlink r:id="rId10" w:tooltip="http://hankovszky.tamas.btk.ppke.hu/okta/kerd-nagel.doc" w:history="1">
                    <w:r>
                      <w:rPr>
                        <w:rStyle w:val="Hiperhivatkozs"/>
                      </w:rPr>
                      <w:t>Kérdések a szöveghez</w:t>
                    </w:r>
                  </w:hyperlink>
                </w:p>
              </w:tc>
            </w:tr>
            <w:tr w:rsidR="00000000" w14:paraId="1AD8B196" w14:textId="77777777">
              <w:tc>
                <w:tcPr>
                  <w:tcW w:w="1021" w:type="dxa"/>
                  <w:tcBorders>
                    <w:top w:val="dotted" w:sz="6" w:space="0" w:color="808080"/>
                    <w:left w:val="dotted" w:sz="6" w:space="0" w:color="808080"/>
                    <w:bottom w:val="dotted" w:sz="6" w:space="0" w:color="808080"/>
                    <w:right w:val="dotted" w:sz="6" w:space="0" w:color="808080"/>
                  </w:tcBorders>
                  <w:hideMark/>
                </w:tcPr>
                <w:p w14:paraId="3BD809CC" w14:textId="77777777" w:rsidR="00000000" w:rsidRDefault="00000000">
                  <w:pPr>
                    <w:pStyle w:val="Buborkszveg"/>
                    <w:rPr>
                      <w:rFonts w:ascii="Times New Roman" w:hAnsi="Times New Roman" w:cs="Times New Roman"/>
                      <w:sz w:val="22"/>
                      <w:szCs w:val="22"/>
                    </w:rPr>
                  </w:pPr>
                  <w:r>
                    <w:rPr>
                      <w:sz w:val="22"/>
                      <w:szCs w:val="22"/>
                    </w:rPr>
                    <w:t>10.8.</w:t>
                  </w:r>
                </w:p>
              </w:tc>
              <w:tc>
                <w:tcPr>
                  <w:tcW w:w="8272" w:type="dxa"/>
                  <w:tcBorders>
                    <w:top w:val="dotted" w:sz="6" w:space="0" w:color="808080"/>
                    <w:left w:val="dotted" w:sz="6" w:space="0" w:color="808080"/>
                    <w:bottom w:val="dotted" w:sz="6" w:space="0" w:color="808080"/>
                    <w:right w:val="dotted" w:sz="6" w:space="0" w:color="808080"/>
                  </w:tcBorders>
                  <w:hideMark/>
                </w:tcPr>
                <w:p w14:paraId="69FC9B24" w14:textId="77777777" w:rsidR="00000000" w:rsidRDefault="00000000" w:rsidP="00BF3025">
                  <w:pPr>
                    <w:ind w:left="276" w:hanging="242"/>
                    <w:rPr>
                      <w:b/>
                    </w:rPr>
                  </w:pPr>
                  <w:proofErr w:type="spellStart"/>
                  <w:proofErr w:type="gramStart"/>
                  <w:r>
                    <w:t>Nagel</w:t>
                  </w:r>
                  <w:proofErr w:type="spellEnd"/>
                  <w:r>
                    <w:t xml:space="preserve">  –</w:t>
                  </w:r>
                  <w:proofErr w:type="gramEnd"/>
                  <w:r>
                    <w:t xml:space="preserve">  </w:t>
                  </w:r>
                  <w:hyperlink r:id="rId11" w:tooltip="http://hankovszky.tamas.btk.ppke.hu/okta/kerd-nagel.doc" w:history="1">
                    <w:r>
                      <w:rPr>
                        <w:rStyle w:val="Hiperhivatkozs"/>
                      </w:rPr>
                      <w:t>Kérdések a szöveghez</w:t>
                    </w:r>
                  </w:hyperlink>
                </w:p>
              </w:tc>
            </w:tr>
            <w:tr w:rsidR="00000000" w14:paraId="29DDB9B5" w14:textId="77777777">
              <w:tc>
                <w:tcPr>
                  <w:tcW w:w="1021" w:type="dxa"/>
                  <w:tcBorders>
                    <w:top w:val="dotted" w:sz="6" w:space="0" w:color="808080"/>
                    <w:left w:val="dotted" w:sz="6" w:space="0" w:color="808080"/>
                    <w:bottom w:val="dotted" w:sz="6" w:space="0" w:color="808080"/>
                    <w:right w:val="dotted" w:sz="6" w:space="0" w:color="808080"/>
                  </w:tcBorders>
                  <w:hideMark/>
                </w:tcPr>
                <w:p w14:paraId="0621847D" w14:textId="77777777" w:rsidR="00000000" w:rsidRDefault="00000000">
                  <w:pPr>
                    <w:pStyle w:val="Szvegtrzs"/>
                    <w:rPr>
                      <w:sz w:val="22"/>
                      <w:szCs w:val="22"/>
                    </w:rPr>
                  </w:pPr>
                  <w:r>
                    <w:rPr>
                      <w:sz w:val="22"/>
                      <w:szCs w:val="22"/>
                    </w:rPr>
                    <w:t>10.15.</w:t>
                  </w:r>
                </w:p>
              </w:tc>
              <w:tc>
                <w:tcPr>
                  <w:tcW w:w="8272" w:type="dxa"/>
                  <w:tcBorders>
                    <w:top w:val="dotted" w:sz="6" w:space="0" w:color="808080"/>
                    <w:left w:val="dotted" w:sz="6" w:space="0" w:color="808080"/>
                    <w:bottom w:val="dotted" w:sz="6" w:space="0" w:color="808080"/>
                    <w:right w:val="dotted" w:sz="6" w:space="0" w:color="808080"/>
                  </w:tcBorders>
                  <w:hideMark/>
                </w:tcPr>
                <w:p w14:paraId="4EE45D57" w14:textId="77777777" w:rsidR="00000000" w:rsidRDefault="00000000" w:rsidP="00BF3025">
                  <w:pPr>
                    <w:ind w:left="276" w:hanging="242"/>
                    <w:rPr>
                      <w:b/>
                    </w:rPr>
                  </w:pPr>
                  <w:proofErr w:type="spellStart"/>
                  <w:proofErr w:type="gramStart"/>
                  <w:r>
                    <w:t>Dworkin</w:t>
                  </w:r>
                  <w:proofErr w:type="spellEnd"/>
                  <w:r>
                    <w:t xml:space="preserve">  –</w:t>
                  </w:r>
                  <w:proofErr w:type="gramEnd"/>
                  <w:r>
                    <w:t xml:space="preserve">  </w:t>
                  </w:r>
                  <w:hyperlink r:id="rId12" w:tooltip="http://hankovszky.tamas.btk.ppke.hu/okta/kerd-dworkin.doc" w:history="1">
                    <w:r>
                      <w:rPr>
                        <w:rStyle w:val="Hiperhivatkozs"/>
                      </w:rPr>
                      <w:t>Kérdések a szöveghez</w:t>
                    </w:r>
                  </w:hyperlink>
                </w:p>
              </w:tc>
            </w:tr>
            <w:tr w:rsidR="00000000" w14:paraId="17F41DB8" w14:textId="77777777">
              <w:tc>
                <w:tcPr>
                  <w:tcW w:w="1021" w:type="dxa"/>
                  <w:tcBorders>
                    <w:top w:val="dotted" w:sz="6" w:space="0" w:color="808080"/>
                    <w:left w:val="dotted" w:sz="6" w:space="0" w:color="808080"/>
                    <w:bottom w:val="dotted" w:sz="6" w:space="0" w:color="808080"/>
                    <w:right w:val="dotted" w:sz="6" w:space="0" w:color="808080"/>
                  </w:tcBorders>
                  <w:hideMark/>
                </w:tcPr>
                <w:p w14:paraId="3A2A2C32" w14:textId="77777777" w:rsidR="00000000" w:rsidRDefault="00000000">
                  <w:pPr>
                    <w:pStyle w:val="Szvegtrzs"/>
                    <w:rPr>
                      <w:sz w:val="22"/>
                      <w:szCs w:val="22"/>
                    </w:rPr>
                  </w:pPr>
                  <w:r>
                    <w:rPr>
                      <w:sz w:val="22"/>
                      <w:szCs w:val="22"/>
                    </w:rPr>
                    <w:t>10.22.</w:t>
                  </w:r>
                </w:p>
              </w:tc>
              <w:tc>
                <w:tcPr>
                  <w:tcW w:w="8272" w:type="dxa"/>
                  <w:tcBorders>
                    <w:top w:val="dotted" w:sz="6" w:space="0" w:color="808080"/>
                    <w:left w:val="dotted" w:sz="6" w:space="0" w:color="808080"/>
                    <w:bottom w:val="dotted" w:sz="6" w:space="0" w:color="808080"/>
                    <w:right w:val="dotted" w:sz="6" w:space="0" w:color="808080"/>
                  </w:tcBorders>
                  <w:hideMark/>
                </w:tcPr>
                <w:p w14:paraId="7EEE5307" w14:textId="77777777" w:rsidR="00000000" w:rsidRDefault="00000000" w:rsidP="00BF3025">
                  <w:pPr>
                    <w:ind w:left="276" w:hanging="242"/>
                  </w:pPr>
                  <w:proofErr w:type="spellStart"/>
                  <w:proofErr w:type="gramStart"/>
                  <w:r>
                    <w:t>Dworkin</w:t>
                  </w:r>
                  <w:proofErr w:type="spellEnd"/>
                  <w:r>
                    <w:t xml:space="preserve">  –</w:t>
                  </w:r>
                  <w:proofErr w:type="gramEnd"/>
                  <w:r>
                    <w:t xml:space="preserve">  </w:t>
                  </w:r>
                  <w:hyperlink r:id="rId13" w:tooltip="http://hankovszky.tamas.btk.ppke.hu/okta/kerd-dworkin.doc" w:history="1">
                    <w:r>
                      <w:rPr>
                        <w:rStyle w:val="Hiperhivatkozs"/>
                      </w:rPr>
                      <w:t>Kérdések a szöveghez</w:t>
                    </w:r>
                  </w:hyperlink>
                </w:p>
              </w:tc>
            </w:tr>
            <w:tr w:rsidR="00000000" w14:paraId="556EC49B" w14:textId="77777777">
              <w:tc>
                <w:tcPr>
                  <w:tcW w:w="1021" w:type="dxa"/>
                  <w:tcBorders>
                    <w:top w:val="dotted" w:sz="6" w:space="0" w:color="808080"/>
                    <w:left w:val="dotted" w:sz="6" w:space="0" w:color="808080"/>
                    <w:bottom w:val="dotted" w:sz="6" w:space="0" w:color="808080"/>
                    <w:right w:val="dotted" w:sz="6" w:space="0" w:color="808080"/>
                  </w:tcBorders>
                  <w:hideMark/>
                </w:tcPr>
                <w:p w14:paraId="0B24DE29" w14:textId="77777777" w:rsidR="00000000" w:rsidRDefault="00000000">
                  <w:pPr>
                    <w:pStyle w:val="Szvegtrzs"/>
                    <w:rPr>
                      <w:sz w:val="22"/>
                      <w:szCs w:val="22"/>
                    </w:rPr>
                  </w:pPr>
                  <w:r>
                    <w:rPr>
                      <w:sz w:val="22"/>
                      <w:szCs w:val="22"/>
                    </w:rPr>
                    <w:t>10.29.</w:t>
                  </w:r>
                </w:p>
              </w:tc>
              <w:tc>
                <w:tcPr>
                  <w:tcW w:w="8272" w:type="dxa"/>
                  <w:tcBorders>
                    <w:top w:val="dotted" w:sz="6" w:space="0" w:color="808080"/>
                    <w:left w:val="dotted" w:sz="6" w:space="0" w:color="808080"/>
                    <w:bottom w:val="dotted" w:sz="6" w:space="0" w:color="808080"/>
                    <w:right w:val="dotted" w:sz="6" w:space="0" w:color="808080"/>
                  </w:tcBorders>
                  <w:hideMark/>
                </w:tcPr>
                <w:p w14:paraId="206B74DB" w14:textId="77777777" w:rsidR="00000000" w:rsidRDefault="00000000" w:rsidP="00BF3025">
                  <w:pPr>
                    <w:ind w:left="276" w:hanging="242"/>
                    <w:rPr>
                      <w:b/>
                      <w:bCs/>
                    </w:rPr>
                  </w:pPr>
                  <w:r>
                    <w:rPr>
                      <w:b/>
                      <w:bCs/>
                    </w:rPr>
                    <w:t>Szünet</w:t>
                  </w:r>
                </w:p>
              </w:tc>
            </w:tr>
            <w:tr w:rsidR="00000000" w14:paraId="7183DB64" w14:textId="77777777">
              <w:tc>
                <w:tcPr>
                  <w:tcW w:w="1021" w:type="dxa"/>
                  <w:tcBorders>
                    <w:top w:val="dotted" w:sz="6" w:space="0" w:color="808080"/>
                    <w:left w:val="dotted" w:sz="6" w:space="0" w:color="808080"/>
                    <w:bottom w:val="dotted" w:sz="6" w:space="0" w:color="808080"/>
                    <w:right w:val="dotted" w:sz="6" w:space="0" w:color="808080"/>
                  </w:tcBorders>
                  <w:hideMark/>
                </w:tcPr>
                <w:p w14:paraId="1579605A" w14:textId="77777777" w:rsidR="00000000" w:rsidRDefault="00000000">
                  <w:pPr>
                    <w:pStyle w:val="Szvegtrzs"/>
                    <w:rPr>
                      <w:sz w:val="22"/>
                      <w:szCs w:val="22"/>
                    </w:rPr>
                  </w:pPr>
                  <w:r>
                    <w:rPr>
                      <w:sz w:val="22"/>
                      <w:szCs w:val="22"/>
                    </w:rPr>
                    <w:t>11.5.</w:t>
                  </w:r>
                </w:p>
              </w:tc>
              <w:tc>
                <w:tcPr>
                  <w:tcW w:w="8272" w:type="dxa"/>
                  <w:tcBorders>
                    <w:top w:val="dotted" w:sz="6" w:space="0" w:color="808080"/>
                    <w:left w:val="dotted" w:sz="6" w:space="0" w:color="808080"/>
                    <w:bottom w:val="dotted" w:sz="6" w:space="0" w:color="808080"/>
                    <w:right w:val="dotted" w:sz="6" w:space="0" w:color="808080"/>
                  </w:tcBorders>
                  <w:hideMark/>
                </w:tcPr>
                <w:p w14:paraId="6C7221B4" w14:textId="77777777" w:rsidR="00000000" w:rsidRDefault="00000000" w:rsidP="00BF3025">
                  <w:pPr>
                    <w:ind w:left="276" w:hanging="242"/>
                  </w:pPr>
                  <w:proofErr w:type="spellStart"/>
                  <w:r>
                    <w:t>Nozick</w:t>
                  </w:r>
                  <w:proofErr w:type="spellEnd"/>
                </w:p>
              </w:tc>
            </w:tr>
            <w:tr w:rsidR="00000000" w14:paraId="587CF2D6" w14:textId="77777777">
              <w:tc>
                <w:tcPr>
                  <w:tcW w:w="1021" w:type="dxa"/>
                  <w:tcBorders>
                    <w:top w:val="dotted" w:sz="6" w:space="0" w:color="808080"/>
                    <w:left w:val="dotted" w:sz="6" w:space="0" w:color="808080"/>
                    <w:bottom w:val="dotted" w:sz="6" w:space="0" w:color="808080"/>
                    <w:right w:val="dotted" w:sz="6" w:space="0" w:color="808080"/>
                  </w:tcBorders>
                  <w:hideMark/>
                </w:tcPr>
                <w:p w14:paraId="6A8485D5" w14:textId="77777777" w:rsidR="00000000" w:rsidRDefault="00000000">
                  <w:pPr>
                    <w:pStyle w:val="Szvegtrzs"/>
                    <w:rPr>
                      <w:sz w:val="22"/>
                      <w:szCs w:val="22"/>
                    </w:rPr>
                  </w:pPr>
                  <w:r>
                    <w:rPr>
                      <w:sz w:val="22"/>
                      <w:szCs w:val="22"/>
                    </w:rPr>
                    <w:t>11.12.</w:t>
                  </w:r>
                </w:p>
              </w:tc>
              <w:tc>
                <w:tcPr>
                  <w:tcW w:w="8272" w:type="dxa"/>
                  <w:tcBorders>
                    <w:top w:val="dotted" w:sz="6" w:space="0" w:color="808080"/>
                    <w:left w:val="dotted" w:sz="6" w:space="0" w:color="808080"/>
                    <w:bottom w:val="dotted" w:sz="6" w:space="0" w:color="808080"/>
                    <w:right w:val="dotted" w:sz="6" w:space="0" w:color="808080"/>
                  </w:tcBorders>
                  <w:hideMark/>
                </w:tcPr>
                <w:p w14:paraId="790F3BFB" w14:textId="77777777" w:rsidR="00000000" w:rsidRDefault="00000000" w:rsidP="00BF3025">
                  <w:pPr>
                    <w:ind w:left="276" w:hanging="242"/>
                  </w:pPr>
                  <w:proofErr w:type="spellStart"/>
                  <w:proofErr w:type="gramStart"/>
                  <w:r>
                    <w:t>Raz</w:t>
                  </w:r>
                  <w:proofErr w:type="spellEnd"/>
                  <w:r>
                    <w:t xml:space="preserve">  –</w:t>
                  </w:r>
                  <w:proofErr w:type="gramEnd"/>
                  <w:r>
                    <w:t xml:space="preserve">  </w:t>
                  </w:r>
                  <w:hyperlink r:id="rId14" w:tooltip="http://hankovszky.tamas.btk.ppke.hu/okta/kerd-raz.doc" w:history="1">
                    <w:r>
                      <w:rPr>
                        <w:rStyle w:val="Hiperhivatkozs"/>
                      </w:rPr>
                      <w:t>Kérdések a szöveghez</w:t>
                    </w:r>
                  </w:hyperlink>
                </w:p>
              </w:tc>
            </w:tr>
            <w:tr w:rsidR="00000000" w14:paraId="13CAD02D" w14:textId="77777777">
              <w:tc>
                <w:tcPr>
                  <w:tcW w:w="1021" w:type="dxa"/>
                  <w:tcBorders>
                    <w:top w:val="dotted" w:sz="6" w:space="0" w:color="808080"/>
                    <w:left w:val="dotted" w:sz="6" w:space="0" w:color="808080"/>
                    <w:bottom w:val="dotted" w:sz="6" w:space="0" w:color="808080"/>
                    <w:right w:val="dotted" w:sz="6" w:space="0" w:color="808080"/>
                  </w:tcBorders>
                  <w:hideMark/>
                </w:tcPr>
                <w:p w14:paraId="4C7CCFE3" w14:textId="77777777" w:rsidR="00000000" w:rsidRDefault="00000000">
                  <w:pPr>
                    <w:pStyle w:val="Szvegtrzs"/>
                    <w:rPr>
                      <w:sz w:val="22"/>
                      <w:szCs w:val="22"/>
                    </w:rPr>
                  </w:pPr>
                  <w:r>
                    <w:rPr>
                      <w:sz w:val="22"/>
                      <w:szCs w:val="22"/>
                    </w:rPr>
                    <w:t>11.19.</w:t>
                  </w:r>
                </w:p>
              </w:tc>
              <w:tc>
                <w:tcPr>
                  <w:tcW w:w="8272" w:type="dxa"/>
                  <w:tcBorders>
                    <w:top w:val="dotted" w:sz="6" w:space="0" w:color="808080"/>
                    <w:left w:val="dotted" w:sz="6" w:space="0" w:color="808080"/>
                    <w:bottom w:val="dotted" w:sz="6" w:space="0" w:color="808080"/>
                    <w:right w:val="dotted" w:sz="6" w:space="0" w:color="808080"/>
                  </w:tcBorders>
                  <w:hideMark/>
                </w:tcPr>
                <w:p w14:paraId="6B4010A1" w14:textId="77777777" w:rsidR="00000000" w:rsidRDefault="00000000" w:rsidP="00BF3025">
                  <w:pPr>
                    <w:ind w:left="276" w:hanging="242"/>
                  </w:pPr>
                  <w:r>
                    <w:t>Wolff</w:t>
                  </w:r>
                </w:p>
              </w:tc>
            </w:tr>
            <w:tr w:rsidR="00000000" w14:paraId="49F7A8F2" w14:textId="77777777">
              <w:tc>
                <w:tcPr>
                  <w:tcW w:w="1021" w:type="dxa"/>
                  <w:tcBorders>
                    <w:top w:val="dotted" w:sz="6" w:space="0" w:color="808080"/>
                    <w:left w:val="dotted" w:sz="6" w:space="0" w:color="808080"/>
                    <w:bottom w:val="dotted" w:sz="6" w:space="0" w:color="808080"/>
                    <w:right w:val="dotted" w:sz="6" w:space="0" w:color="808080"/>
                  </w:tcBorders>
                  <w:hideMark/>
                </w:tcPr>
                <w:p w14:paraId="66A1002C" w14:textId="77777777" w:rsidR="00000000" w:rsidRDefault="00000000">
                  <w:pPr>
                    <w:pStyle w:val="Szvegtrzs"/>
                    <w:rPr>
                      <w:sz w:val="22"/>
                      <w:szCs w:val="22"/>
                    </w:rPr>
                  </w:pPr>
                  <w:r>
                    <w:rPr>
                      <w:sz w:val="22"/>
                      <w:szCs w:val="22"/>
                    </w:rPr>
                    <w:t>11.26.</w:t>
                  </w:r>
                </w:p>
              </w:tc>
              <w:tc>
                <w:tcPr>
                  <w:tcW w:w="8272" w:type="dxa"/>
                  <w:tcBorders>
                    <w:top w:val="dotted" w:sz="6" w:space="0" w:color="808080"/>
                    <w:left w:val="dotted" w:sz="6" w:space="0" w:color="808080"/>
                    <w:bottom w:val="dotted" w:sz="6" w:space="0" w:color="808080"/>
                    <w:right w:val="dotted" w:sz="6" w:space="0" w:color="808080"/>
                  </w:tcBorders>
                  <w:hideMark/>
                </w:tcPr>
                <w:p w14:paraId="4990902B" w14:textId="77777777" w:rsidR="00000000" w:rsidRDefault="00000000" w:rsidP="00BF3025">
                  <w:pPr>
                    <w:ind w:left="276" w:hanging="242"/>
                  </w:pPr>
                  <w:r>
                    <w:rPr>
                      <w:color w:val="000000"/>
                    </w:rPr>
                    <w:t>Simmons</w:t>
                  </w:r>
                </w:p>
              </w:tc>
            </w:tr>
            <w:tr w:rsidR="00000000" w14:paraId="3561D967" w14:textId="77777777">
              <w:tc>
                <w:tcPr>
                  <w:tcW w:w="1021" w:type="dxa"/>
                  <w:tcBorders>
                    <w:top w:val="dotted" w:sz="6" w:space="0" w:color="808080"/>
                    <w:left w:val="dotted" w:sz="6" w:space="0" w:color="808080"/>
                    <w:bottom w:val="dotted" w:sz="6" w:space="0" w:color="808080"/>
                    <w:right w:val="dotted" w:sz="6" w:space="0" w:color="808080"/>
                  </w:tcBorders>
                  <w:hideMark/>
                </w:tcPr>
                <w:p w14:paraId="3D193843" w14:textId="77777777" w:rsidR="00000000" w:rsidRDefault="00000000">
                  <w:pPr>
                    <w:pStyle w:val="Szvegtrzs"/>
                    <w:rPr>
                      <w:sz w:val="22"/>
                      <w:szCs w:val="22"/>
                    </w:rPr>
                  </w:pPr>
                  <w:r>
                    <w:rPr>
                      <w:sz w:val="22"/>
                      <w:szCs w:val="22"/>
                    </w:rPr>
                    <w:t>12.03.</w:t>
                  </w:r>
                </w:p>
              </w:tc>
              <w:tc>
                <w:tcPr>
                  <w:tcW w:w="8272" w:type="dxa"/>
                  <w:tcBorders>
                    <w:top w:val="dotted" w:sz="6" w:space="0" w:color="808080"/>
                    <w:left w:val="dotted" w:sz="6" w:space="0" w:color="808080"/>
                    <w:bottom w:val="dotted" w:sz="6" w:space="0" w:color="808080"/>
                    <w:right w:val="dotted" w:sz="6" w:space="0" w:color="808080"/>
                  </w:tcBorders>
                  <w:hideMark/>
                </w:tcPr>
                <w:p w14:paraId="0B902ED8" w14:textId="77777777" w:rsidR="00000000" w:rsidRDefault="00000000" w:rsidP="00BF3025">
                  <w:pPr>
                    <w:ind w:left="276" w:hanging="242"/>
                  </w:pPr>
                  <w:proofErr w:type="spellStart"/>
                  <w:r>
                    <w:t>Sandel</w:t>
                  </w:r>
                  <w:proofErr w:type="spellEnd"/>
                </w:p>
              </w:tc>
            </w:tr>
            <w:tr w:rsidR="00000000" w14:paraId="6A363292" w14:textId="77777777">
              <w:tc>
                <w:tcPr>
                  <w:tcW w:w="1021" w:type="dxa"/>
                  <w:tcBorders>
                    <w:top w:val="dotted" w:sz="6" w:space="0" w:color="808080"/>
                    <w:left w:val="dotted" w:sz="6" w:space="0" w:color="808080"/>
                    <w:bottom w:val="dotted" w:sz="6" w:space="0" w:color="808080"/>
                    <w:right w:val="dotted" w:sz="6" w:space="0" w:color="808080"/>
                  </w:tcBorders>
                  <w:hideMark/>
                </w:tcPr>
                <w:p w14:paraId="05DE2275" w14:textId="77777777" w:rsidR="00000000" w:rsidRDefault="00000000">
                  <w:pPr>
                    <w:pStyle w:val="Szvegtrzs"/>
                    <w:rPr>
                      <w:sz w:val="22"/>
                      <w:szCs w:val="22"/>
                    </w:rPr>
                  </w:pPr>
                  <w:r>
                    <w:rPr>
                      <w:sz w:val="22"/>
                      <w:szCs w:val="22"/>
                    </w:rPr>
                    <w:t>12.10.</w:t>
                  </w:r>
                </w:p>
              </w:tc>
              <w:tc>
                <w:tcPr>
                  <w:tcW w:w="8272" w:type="dxa"/>
                  <w:tcBorders>
                    <w:top w:val="dotted" w:sz="6" w:space="0" w:color="808080"/>
                    <w:left w:val="dotted" w:sz="6" w:space="0" w:color="808080"/>
                    <w:bottom w:val="dotted" w:sz="6" w:space="0" w:color="808080"/>
                    <w:right w:val="dotted" w:sz="6" w:space="0" w:color="808080"/>
                  </w:tcBorders>
                  <w:hideMark/>
                </w:tcPr>
                <w:p w14:paraId="35DC9468" w14:textId="77777777" w:rsidR="00000000" w:rsidRDefault="00000000" w:rsidP="00BF3025">
                  <w:pPr>
                    <w:ind w:left="276" w:hanging="242"/>
                  </w:pPr>
                  <w:r>
                    <w:t>Összegzés, értékelés</w:t>
                  </w:r>
                </w:p>
              </w:tc>
            </w:tr>
          </w:tbl>
          <w:p w14:paraId="3C3EEE3F" w14:textId="77777777" w:rsidR="00000000" w:rsidRDefault="00000000">
            <w:pPr>
              <w:rPr>
                <w:rFonts w:ascii="Tahoma" w:hAnsi="Tahoma" w:cs="Tahoma"/>
              </w:rPr>
            </w:pPr>
          </w:p>
        </w:tc>
      </w:tr>
      <w:tr w:rsidR="00000000" w14:paraId="73EDA556" w14:textId="77777777" w:rsidTr="007A394A">
        <w:tc>
          <w:tcPr>
            <w:tcW w:w="10204" w:type="dxa"/>
            <w:tcBorders>
              <w:top w:val="nil"/>
              <w:left w:val="nil"/>
              <w:bottom w:val="nil"/>
              <w:right w:val="nil"/>
            </w:tcBorders>
          </w:tcPr>
          <w:p w14:paraId="137112DF" w14:textId="77777777" w:rsidR="00000000" w:rsidRDefault="00000000">
            <w:pPr>
              <w:jc w:val="right"/>
              <w:rPr>
                <w:rFonts w:ascii="Tahoma" w:hAnsi="Tahoma" w:cs="Tahoma"/>
                <w:sz w:val="16"/>
                <w:szCs w:val="16"/>
              </w:rPr>
            </w:pPr>
          </w:p>
        </w:tc>
      </w:tr>
    </w:tbl>
    <w:p w14:paraId="7EECDA83" w14:textId="77777777" w:rsidR="00267108" w:rsidRDefault="00267108"/>
    <w:sectPr w:rsidR="00267108">
      <w:pgSz w:w="11906" w:h="16838"/>
      <w:pgMar w:top="567" w:right="851" w:bottom="567" w:left="85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7995"/>
    <w:multiLevelType w:val="multilevel"/>
    <w:tmpl w:val="1702E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752991"/>
    <w:multiLevelType w:val="multilevel"/>
    <w:tmpl w:val="9C3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3681556">
    <w:abstractNumId w:val="1"/>
  </w:num>
  <w:num w:numId="2" w16cid:durableId="2137992362">
    <w:abstractNumId w:val="0"/>
  </w:num>
  <w:num w:numId="3" w16cid:durableId="10307612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attachedTemplate r:id="rId1"/>
  <w:defaultTabStop w:val="708"/>
  <w:hyphenationZone w:val="420"/>
  <w:noPunctuationKerning/>
  <w:characterSpacingControl w:val="doNotCompress"/>
  <w:compat>
    <w:applyBreakingRules/>
    <w:useWord2002TableStyle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F3025"/>
    <w:rsid w:val="00111067"/>
    <w:rsid w:val="00267108"/>
    <w:rsid w:val="003A28B3"/>
    <w:rsid w:val="007A394A"/>
    <w:rsid w:val="007B5A7E"/>
    <w:rsid w:val="00BF30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4B21F"/>
  <w15:chartTrackingRefBased/>
  <w15:docId w15:val="{B5DB214C-5066-453B-9A98-1F3989DB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2">
    <w:name w:val="heading 2"/>
    <w:basedOn w:val="Norml"/>
    <w:link w:val="Cmsor2Char"/>
    <w:qFormat/>
    <w:pPr>
      <w:spacing w:before="100" w:beforeAutospacing="1" w:after="100" w:afterAutospacing="1"/>
      <w:outlineLvl w:val="1"/>
    </w:pPr>
    <w:rPr>
      <w:rFonts w:eastAsiaTheme="minorEastAsia"/>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semiHidden/>
    <w:unhideWhenUsed/>
    <w:rPr>
      <w:color w:val="0000FF"/>
      <w:u w:val="single"/>
    </w:rPr>
  </w:style>
  <w:style w:type="character" w:styleId="Mrltotthiperhivatkozs">
    <w:name w:val="FollowedHyperlink"/>
    <w:basedOn w:val="Bekezdsalapbettpusa"/>
    <w:semiHidden/>
    <w:unhideWhenUsed/>
    <w:rPr>
      <w:color w:val="800080"/>
      <w:u w:val="single"/>
    </w:rPr>
  </w:style>
  <w:style w:type="character" w:customStyle="1" w:styleId="Cmsor2Char">
    <w:name w:val="Címsor 2 Char"/>
    <w:basedOn w:val="Bekezdsalapbettpusa"/>
    <w:link w:val="Cmsor2"/>
    <w:semiHidden/>
    <w:locked/>
    <w:rPr>
      <w:rFonts w:asciiTheme="majorHAnsi" w:eastAsiaTheme="majorEastAsia" w:hAnsiTheme="majorHAnsi" w:cstheme="majorBidi" w:hint="default"/>
      <w:color w:val="2E74B5" w:themeColor="accent1" w:themeShade="BF"/>
      <w:sz w:val="26"/>
      <w:szCs w:val="26"/>
    </w:rPr>
  </w:style>
  <w:style w:type="paragraph" w:customStyle="1" w:styleId="msonormal0">
    <w:name w:val="msonormal"/>
    <w:basedOn w:val="Norml"/>
    <w:pPr>
      <w:spacing w:before="100" w:beforeAutospacing="1" w:after="100" w:afterAutospacing="1"/>
    </w:pPr>
    <w:rPr>
      <w:rFonts w:eastAsiaTheme="minorEastAsia"/>
    </w:rPr>
  </w:style>
  <w:style w:type="paragraph" w:styleId="lfej">
    <w:name w:val="header"/>
    <w:basedOn w:val="Norml"/>
    <w:link w:val="lfejChar"/>
    <w:semiHidden/>
    <w:unhideWhenUsed/>
    <w:pPr>
      <w:tabs>
        <w:tab w:val="center" w:pos="4536"/>
        <w:tab w:val="right" w:pos="9072"/>
      </w:tabs>
    </w:pPr>
  </w:style>
  <w:style w:type="character" w:customStyle="1" w:styleId="lfejChar">
    <w:name w:val="Élőfej Char"/>
    <w:basedOn w:val="Bekezdsalapbettpusa"/>
    <w:link w:val="lfej"/>
    <w:semiHidden/>
    <w:locked/>
    <w:rPr>
      <w:sz w:val="24"/>
      <w:szCs w:val="24"/>
    </w:rPr>
  </w:style>
  <w:style w:type="paragraph" w:styleId="llb">
    <w:name w:val="footer"/>
    <w:basedOn w:val="Norml"/>
    <w:link w:val="llbChar"/>
    <w:semiHidden/>
    <w:unhideWhenUsed/>
    <w:pPr>
      <w:tabs>
        <w:tab w:val="center" w:pos="4536"/>
        <w:tab w:val="right" w:pos="9072"/>
      </w:tabs>
    </w:pPr>
  </w:style>
  <w:style w:type="character" w:customStyle="1" w:styleId="llbChar">
    <w:name w:val="Élőláb Char"/>
    <w:basedOn w:val="Bekezdsalapbettpusa"/>
    <w:link w:val="llb"/>
    <w:semiHidden/>
    <w:locked/>
    <w:rPr>
      <w:sz w:val="24"/>
      <w:szCs w:val="24"/>
    </w:rPr>
  </w:style>
  <w:style w:type="paragraph" w:styleId="Szvegtrzs">
    <w:name w:val="Body Text"/>
    <w:basedOn w:val="Norml"/>
    <w:link w:val="SzvegtrzsChar"/>
    <w:semiHidden/>
    <w:unhideWhenUsed/>
  </w:style>
  <w:style w:type="character" w:customStyle="1" w:styleId="SzvegtrzsChar">
    <w:name w:val="Szövegtörzs Char"/>
    <w:basedOn w:val="Bekezdsalapbettpusa"/>
    <w:link w:val="Szvegtrzs"/>
    <w:semiHidden/>
    <w:locked/>
    <w:rPr>
      <w:sz w:val="24"/>
      <w:szCs w:val="24"/>
    </w:rPr>
  </w:style>
  <w:style w:type="paragraph" w:styleId="Buborkszveg">
    <w:name w:val="Balloon Text"/>
    <w:basedOn w:val="Norml"/>
    <w:link w:val="BuborkszvegChar"/>
    <w:semiHidden/>
    <w:unhideWhenUsed/>
    <w:rPr>
      <w:rFonts w:ascii="Tahoma" w:hAnsi="Tahoma" w:cs="Tahoma"/>
      <w:sz w:val="16"/>
      <w:szCs w:val="16"/>
    </w:rPr>
  </w:style>
  <w:style w:type="character" w:customStyle="1" w:styleId="BuborkszvegChar">
    <w:name w:val="Buborékszöveg Char"/>
    <w:basedOn w:val="Bekezdsalapbettpusa"/>
    <w:link w:val="Buborkszveg"/>
    <w:semiHidden/>
    <w:locked/>
    <w:rPr>
      <w:rFonts w:ascii="Tahoma" w:hAnsi="Tahoma" w:cs="Tahoma" w:hint="default"/>
      <w:sz w:val="16"/>
      <w:szCs w:val="16"/>
    </w:rPr>
  </w:style>
  <w:style w:type="paragraph" w:customStyle="1" w:styleId="western">
    <w:name w:val="western"/>
    <w:basedOn w:val="Norml"/>
    <w:semiHidden/>
  </w:style>
  <w:style w:type="character" w:customStyle="1" w:styleId="keretesures-alcim121">
    <w:name w:val="keretesures-alcim121"/>
    <w:basedOn w:val="Bekezdsalapbettpusa"/>
  </w:style>
  <w:style w:type="table" w:styleId="Rcsostblzat">
    <w:name w:val="Table Grid"/>
    <w:basedOn w:val="Normltblz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kovszky.tamas.btk.ppke.hu/okta/kerd-rawls.docx" TargetMode="External"/><Relationship Id="rId13" Type="http://schemas.openxmlformats.org/officeDocument/2006/relationships/hyperlink" Target="http://hankovszky.tamas.btk.ppke.hu/okta/kerd-dworkin.doc" TargetMode="External"/><Relationship Id="rId3" Type="http://schemas.openxmlformats.org/officeDocument/2006/relationships/settings" Target="settings.xml"/><Relationship Id="rId7" Type="http://schemas.openxmlformats.org/officeDocument/2006/relationships/hyperlink" Target="https://www.szaktars.hu/osiris/view/huoranszki-ferenc-szerk-modern-politikai-filozofia-szemeszter-1998/?pg=0&amp;layout=l" TargetMode="External"/><Relationship Id="rId12" Type="http://schemas.openxmlformats.org/officeDocument/2006/relationships/hyperlink" Target="http://hankovszky.tamas.btk.ppke.hu/okta/kerd-dworkin.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ankovszky@btk.ppke.hu" TargetMode="External"/><Relationship Id="rId11" Type="http://schemas.openxmlformats.org/officeDocument/2006/relationships/hyperlink" Target="http://hankovszky.tamas.btk.ppke.hu/okta/kerd-nagel.doc" TargetMode="External"/><Relationship Id="rId5" Type="http://schemas.openxmlformats.org/officeDocument/2006/relationships/hyperlink" Target="mailto:tamas@hankovszky.com" TargetMode="External"/><Relationship Id="rId15" Type="http://schemas.openxmlformats.org/officeDocument/2006/relationships/fontTable" Target="fontTable.xml"/><Relationship Id="rId10" Type="http://schemas.openxmlformats.org/officeDocument/2006/relationships/hyperlink" Target="http://hankovszky.tamas.btk.ppke.hu/okta/kerd-nagel.doc" TargetMode="External"/><Relationship Id="rId4" Type="http://schemas.openxmlformats.org/officeDocument/2006/relationships/webSettings" Target="webSettings.xml"/><Relationship Id="rId9" Type="http://schemas.openxmlformats.org/officeDocument/2006/relationships/hyperlink" Target="http://hankovszky.tamas.btk.ppke.hu/okta/kerd-rawls.docx" TargetMode="External"/><Relationship Id="rId14" Type="http://schemas.openxmlformats.org/officeDocument/2006/relationships/hyperlink" Target="http://hankovszky.tamas.btk.ppke.hu/okta/kerd-raz.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6552</Characters>
  <Application>Microsoft Office Word</Application>
  <DocSecurity>0</DocSecurity>
  <Lines>54</Lines>
  <Paragraphs>14</Paragraphs>
  <ScaleCrop>false</ScaleCrop>
  <Company>Microsoft</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Hankovszky Tamás</dc:title>
  <dc:subject/>
  <dc:creator>Hankovszky Tamás</dc:creator>
  <cp:keywords/>
  <dc:description/>
  <cp:lastModifiedBy>Hankovszky Tamás</cp:lastModifiedBy>
  <cp:revision>3</cp:revision>
  <dcterms:created xsi:type="dcterms:W3CDTF">2024-08-16T13:34:00Z</dcterms:created>
  <dcterms:modified xsi:type="dcterms:W3CDTF">2024-08-16T13:35:00Z</dcterms:modified>
</cp:coreProperties>
</file>