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3EFC" w14:textId="44E15E54" w:rsidR="00AD4A31" w:rsidRDefault="00AD4A31" w:rsidP="00AD4A31">
      <w:pPr>
        <w:pStyle w:val="Default"/>
        <w:spacing w:line="259" w:lineRule="auto"/>
        <w:jc w:val="center"/>
        <w:rPr>
          <w:rFonts w:ascii="PT Sans" w:hAnsi="PT Sans"/>
          <w:b/>
          <w:bCs/>
          <w:sz w:val="28"/>
          <w:szCs w:val="28"/>
        </w:rPr>
      </w:pPr>
      <w:r>
        <w:rPr>
          <w:rFonts w:ascii="PT Sans" w:hAnsi="PT Sans"/>
          <w:b/>
          <w:bCs/>
          <w:sz w:val="28"/>
          <w:szCs w:val="28"/>
        </w:rPr>
        <w:t>PPKE BTK</w:t>
      </w:r>
    </w:p>
    <w:p w14:paraId="78A3BE27" w14:textId="0AC26F15" w:rsidR="00AD4A31" w:rsidRPr="00AD4A31" w:rsidRDefault="00AD4A31" w:rsidP="00AD4A31">
      <w:pPr>
        <w:pStyle w:val="Default"/>
        <w:spacing w:line="259" w:lineRule="auto"/>
        <w:jc w:val="center"/>
        <w:rPr>
          <w:rFonts w:ascii="PT Sans" w:hAnsi="PT Sans"/>
          <w:b/>
          <w:bCs/>
          <w:sz w:val="28"/>
          <w:szCs w:val="28"/>
        </w:rPr>
      </w:pPr>
      <w:r w:rsidRPr="00AD4A31">
        <w:rPr>
          <w:rFonts w:ascii="PT Sans" w:hAnsi="PT Sans"/>
          <w:b/>
          <w:bCs/>
          <w:sz w:val="28"/>
          <w:szCs w:val="28"/>
        </w:rPr>
        <w:t>Kelet-Ázsia tanulmányok mesterképzés</w:t>
      </w:r>
    </w:p>
    <w:p w14:paraId="58978C8A" w14:textId="69D34F09" w:rsidR="00AD4A31" w:rsidRPr="00AD4A31" w:rsidRDefault="00AD4A31" w:rsidP="00AD4A31">
      <w:pPr>
        <w:pStyle w:val="Default"/>
        <w:spacing w:line="259" w:lineRule="auto"/>
        <w:jc w:val="center"/>
        <w:rPr>
          <w:rFonts w:ascii="PT Sans" w:hAnsi="PT Sans"/>
          <w:b/>
          <w:bCs/>
          <w:sz w:val="28"/>
          <w:szCs w:val="28"/>
        </w:rPr>
      </w:pPr>
      <w:r w:rsidRPr="00AD4A31">
        <w:rPr>
          <w:rFonts w:ascii="PT Sans" w:hAnsi="PT Sans"/>
          <w:b/>
          <w:bCs/>
          <w:sz w:val="28"/>
          <w:szCs w:val="28"/>
        </w:rPr>
        <w:t>Államvizsga tételsor</w:t>
      </w:r>
    </w:p>
    <w:p w14:paraId="190F57E9" w14:textId="3B0AA6B2" w:rsidR="00AD4A31" w:rsidRPr="00AD4A31" w:rsidRDefault="00AD4A31" w:rsidP="00AD4A31">
      <w:pPr>
        <w:pStyle w:val="Default"/>
        <w:spacing w:line="259" w:lineRule="auto"/>
        <w:jc w:val="center"/>
        <w:rPr>
          <w:rFonts w:ascii="PT Sans" w:hAnsi="PT Sans"/>
          <w:b/>
          <w:bCs/>
          <w:sz w:val="28"/>
          <w:szCs w:val="28"/>
        </w:rPr>
      </w:pPr>
      <w:r w:rsidRPr="00AD4A31">
        <w:rPr>
          <w:rFonts w:ascii="PT Sans" w:hAnsi="PT Sans"/>
          <w:b/>
          <w:bCs/>
          <w:sz w:val="28"/>
          <w:szCs w:val="28"/>
        </w:rPr>
        <w:t>Érvényes: 2024-től</w:t>
      </w:r>
    </w:p>
    <w:p w14:paraId="1484CDC4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</w:p>
    <w:p w14:paraId="216BB4BE" w14:textId="4F3593E9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  <w:b/>
          <w:bCs/>
        </w:rPr>
      </w:pPr>
      <w:r w:rsidRPr="00AD4A31">
        <w:rPr>
          <w:rFonts w:ascii="PT Sans" w:hAnsi="PT Sans"/>
          <w:b/>
          <w:bCs/>
        </w:rPr>
        <w:t xml:space="preserve">I. </w:t>
      </w:r>
      <w:r w:rsidRPr="00AD4A31">
        <w:rPr>
          <w:rFonts w:ascii="PT Sans" w:hAnsi="PT Sans"/>
          <w:b/>
          <w:bCs/>
        </w:rPr>
        <w:t>NEMZETKÖZI SZERVEZETEK JOGA</w:t>
      </w:r>
    </w:p>
    <w:p w14:paraId="2CC49C4B" w14:textId="4BA8AFC3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1. A nemzetközi szervezetek létrejötte, fogalma, ismérvei </w:t>
      </w:r>
    </w:p>
    <w:p w14:paraId="0DACC5A3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2. A nemzetközi szervezetek szervei </w:t>
      </w:r>
    </w:p>
    <w:p w14:paraId="3826B045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3. A nemzetközi szervezetek eljárási szabályai, határozatai, a döntéshozatal folyamata </w:t>
      </w:r>
    </w:p>
    <w:p w14:paraId="3F45076E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4. A nemzetközi közszolgálat. A Nemzetek Szövetsége és az ENSZ titkársága. </w:t>
      </w:r>
    </w:p>
    <w:p w14:paraId="563AE1EC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5. A szervezetek költségvetése </w:t>
      </w:r>
    </w:p>
    <w:p w14:paraId="2BFA0835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6. A nemzetközi szervezetek szerepe az államok közötti együttműködés fejlesztésében. A nemzetközi jog alapelvei. </w:t>
      </w:r>
    </w:p>
    <w:p w14:paraId="32199B31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7. A Nemzetek Szövetsége és működésének tanulságai </w:t>
      </w:r>
    </w:p>
    <w:p w14:paraId="1B637AA6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8. Az ENSZ létrejötte </w:t>
      </w:r>
    </w:p>
    <w:p w14:paraId="5264EF98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9. A Közgyűlés és a Biztonsági Tanács működése </w:t>
      </w:r>
    </w:p>
    <w:p w14:paraId="05488A64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10. Az ECOSOC működése. A kapcsolt szervezetek és szakosított intézmények. (Különös tekintettel: UNICEF, UNDP, ILO, UNESCO, IMF) </w:t>
      </w:r>
    </w:p>
    <w:p w14:paraId="4AF1CE95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11. A Nemzetközi Bíróság </w:t>
      </w:r>
    </w:p>
    <w:p w14:paraId="398F0312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12. A nemzetközi büntetőbíráskodás </w:t>
      </w:r>
    </w:p>
    <w:p w14:paraId="3E759451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13. NATO </w:t>
      </w:r>
    </w:p>
    <w:p w14:paraId="3FC7CBE8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14. Gazdasági, kereskedelmi szervezetek (GATT, WTO, OECD) </w:t>
      </w:r>
    </w:p>
    <w:p w14:paraId="6EE64D02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15. EBESZ </w:t>
      </w:r>
    </w:p>
    <w:p w14:paraId="14253BBE" w14:textId="77777777" w:rsidR="00AD4A31" w:rsidRPr="00AD4A31" w:rsidRDefault="00AD4A31" w:rsidP="00AD4A31">
      <w:pPr>
        <w:pStyle w:val="Default"/>
        <w:spacing w:before="240" w:after="240" w:line="259" w:lineRule="auto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16. A humanitárius jog és érvényesítésének szervezeti keretei (ICRC) </w:t>
      </w:r>
    </w:p>
    <w:p w14:paraId="55B064B3" w14:textId="77777777" w:rsidR="00A13381" w:rsidRDefault="00A13381" w:rsidP="00AD4A31">
      <w:pPr>
        <w:spacing w:before="240" w:after="240"/>
        <w:jc w:val="both"/>
        <w:rPr>
          <w:rFonts w:ascii="PT Sans" w:hAnsi="PT Sans"/>
          <w:sz w:val="24"/>
          <w:szCs w:val="24"/>
        </w:rPr>
      </w:pPr>
    </w:p>
    <w:p w14:paraId="5314405A" w14:textId="77777777" w:rsidR="00AD4A31" w:rsidRDefault="00AD4A31" w:rsidP="00AD4A31">
      <w:pPr>
        <w:spacing w:before="240" w:after="240"/>
        <w:jc w:val="both"/>
        <w:rPr>
          <w:rFonts w:ascii="PT Sans" w:hAnsi="PT Sans"/>
          <w:sz w:val="24"/>
          <w:szCs w:val="24"/>
        </w:rPr>
      </w:pPr>
    </w:p>
    <w:p w14:paraId="58A5F3AB" w14:textId="45E76DA0" w:rsidR="00AD4A31" w:rsidRPr="00AD4A31" w:rsidRDefault="00AD4A31" w:rsidP="00AD4A31">
      <w:pPr>
        <w:spacing w:before="240" w:after="240"/>
        <w:jc w:val="both"/>
        <w:rPr>
          <w:rFonts w:ascii="PT Sans" w:hAnsi="PT Sans"/>
          <w:b/>
          <w:bCs/>
          <w:sz w:val="24"/>
          <w:szCs w:val="24"/>
        </w:rPr>
      </w:pPr>
      <w:r w:rsidRPr="00AD4A31">
        <w:rPr>
          <w:rFonts w:ascii="PT Sans" w:hAnsi="PT Sans"/>
          <w:b/>
          <w:bCs/>
          <w:sz w:val="24"/>
          <w:szCs w:val="24"/>
        </w:rPr>
        <w:lastRenderedPageBreak/>
        <w:t xml:space="preserve">II. </w:t>
      </w:r>
      <w:r w:rsidRPr="00AD4A31">
        <w:rPr>
          <w:rFonts w:ascii="PT Sans" w:hAnsi="PT Sans" w:cs="Times New Roman"/>
          <w:b/>
          <w:bCs/>
          <w:sz w:val="24"/>
          <w:szCs w:val="24"/>
        </w:rPr>
        <w:t xml:space="preserve">KÍNA POLITIKAI ÉS TÁRSADALMI RENDSZERE </w:t>
      </w:r>
    </w:p>
    <w:p w14:paraId="1C30386D" w14:textId="5A655FED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1. A kínai gazdaság helyzete: a 2008-as válság, a világjárvány és a </w:t>
      </w:r>
      <w:proofErr w:type="spellStart"/>
      <w:r w:rsidRPr="00AD4A31">
        <w:rPr>
          <w:rFonts w:ascii="PT Sans" w:hAnsi="PT Sans" w:cs="Times New Roman"/>
          <w:sz w:val="24"/>
          <w:szCs w:val="24"/>
        </w:rPr>
        <w:t>deglobalizáció</w:t>
      </w:r>
      <w:proofErr w:type="spellEnd"/>
      <w:r w:rsidRPr="00AD4A31">
        <w:rPr>
          <w:rFonts w:ascii="PT Sans" w:hAnsi="PT Sans" w:cs="Times New Roman"/>
          <w:sz w:val="24"/>
          <w:szCs w:val="24"/>
        </w:rPr>
        <w:t xml:space="preserve"> és </w:t>
      </w:r>
      <w:proofErr w:type="spellStart"/>
      <w:r w:rsidRPr="00AD4A31">
        <w:rPr>
          <w:rFonts w:ascii="PT Sans" w:hAnsi="PT Sans" w:cs="Times New Roman"/>
          <w:sz w:val="24"/>
          <w:szCs w:val="24"/>
        </w:rPr>
        <w:t>makro-regionalizáció</w:t>
      </w:r>
      <w:proofErr w:type="spellEnd"/>
      <w:r w:rsidRPr="00AD4A31">
        <w:rPr>
          <w:rFonts w:ascii="PT Sans" w:hAnsi="PT Sans" w:cs="Times New Roman"/>
          <w:sz w:val="24"/>
          <w:szCs w:val="24"/>
        </w:rPr>
        <w:t xml:space="preserve"> hatásai, a gazdaság strukturális problémái – új gazdaságpolitika szükségessége </w:t>
      </w:r>
    </w:p>
    <w:p w14:paraId="47AFE15E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2. A növekedési ütem lassulása, strukturális módosítások, a reform- és nyitás áthangolása, a modellszintű gazdaságpolitikai korrekciók – a közepes fejlettségi csapda elkerülésének kihívásai </w:t>
      </w:r>
    </w:p>
    <w:p w14:paraId="73B30E2A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3. A gazdasági változások fő társadalmi következményei – a szociális feszültségek jelenségei, a belső társadalmi stabilitás kérdése Kínában </w:t>
      </w:r>
    </w:p>
    <w:p w14:paraId="49489C60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4. A kínai társadalom szerkezetének és helyzetének változásai, a falusi és a városi társadalom jellemzői – belső migráció, munkanélküliség, ifjúság, idősek, szociális ellátás, korrupció </w:t>
      </w:r>
    </w:p>
    <w:p w14:paraId="084324BC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5. A belső fogyasztást ösztönző politika, az egyéni és a közösségi fogyasztás bővítésének kérdései és ellentmondásai – a nagy ellátórendszerek kiépítése és reformja Kínában </w:t>
      </w:r>
    </w:p>
    <w:p w14:paraId="734C3CE7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6. Az iparosodás és urbanizáció fő társadalmi következményei, jellemzői és hatásai Kínában – a lakó-nyilvántartási rendszer </w:t>
      </w:r>
    </w:p>
    <w:p w14:paraId="200028A6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7. Az iparosodás és urbanizáció hatásai a környezetre, a természeti erőforrásokra, az élelmezés- és élelmiszer-biztonságra Kínában </w:t>
      </w:r>
    </w:p>
    <w:p w14:paraId="25F383A9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8. Kína demográfiai helyzete, problémái: a születésszabályozás változásai és a további perspektívák </w:t>
      </w:r>
    </w:p>
    <w:p w14:paraId="70240AA7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9. Kína etnikai viszonyai, az etnikai kisebbségek helyzete – a nemzetiségi autonómiák tartalma, a fő feszültségek területei és politikai kezelésük </w:t>
      </w:r>
    </w:p>
    <w:p w14:paraId="37E7037C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10. A Kínai Népköztársaság alkotmányos rendje, jogrendszere, kormányzati rendszere, igazságszolgáltatása, fegyveres erői, biztonsági szervei és működésük </w:t>
      </w:r>
    </w:p>
    <w:p w14:paraId="4D6F53AE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11. A Kínai Népköztársaság politikai rendszere: intézményesített, </w:t>
      </w:r>
      <w:proofErr w:type="spellStart"/>
      <w:r w:rsidRPr="00AD4A31">
        <w:rPr>
          <w:rFonts w:ascii="PT Sans" w:hAnsi="PT Sans" w:cs="Times New Roman"/>
          <w:sz w:val="24"/>
          <w:szCs w:val="24"/>
        </w:rPr>
        <w:t>meritokratikus</w:t>
      </w:r>
      <w:proofErr w:type="spellEnd"/>
      <w:r w:rsidRPr="00AD4A31">
        <w:rPr>
          <w:rFonts w:ascii="PT Sans" w:hAnsi="PT Sans" w:cs="Times New Roman"/>
          <w:sz w:val="24"/>
          <w:szCs w:val="24"/>
        </w:rPr>
        <w:t xml:space="preserve">, állampárti, autoriter struktúra – általános jellemzés </w:t>
      </w:r>
    </w:p>
    <w:p w14:paraId="2B68CD5E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>12. Az emberi jogok kérdései és helyzete a Kínai Népköztársaságban – koncepcionális eltérések és gyakorlati korlátozások</w:t>
      </w:r>
    </w:p>
    <w:p w14:paraId="586E423B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13. A Kínai Kommunista Párt a KNK politikai vezető ereje: szervezet, ideológia, politika, vezetői generációk – politikai és hatalmi küzdelmek </w:t>
      </w:r>
    </w:p>
    <w:p w14:paraId="401F905B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>14. A "demokratikus pártok" és a konzultatív politikai rendszer, a társadalmi és civil szervezetek a Kínai Népköztársaságban</w:t>
      </w:r>
    </w:p>
    <w:p w14:paraId="79EC529A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lastRenderedPageBreak/>
        <w:t xml:space="preserve">15. Életmód, egyéni lét, társadalmi és közélet, család és más közösségek és a szellemi élet Kínában – a fő ideológiai folyamatok </w:t>
      </w:r>
    </w:p>
    <w:p w14:paraId="3079095E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>16. A nemzetegyesítés kérdése a kínai politikában: Hongkong, Makaó, tajvani kérdés, kínai diaszpóra</w:t>
      </w:r>
    </w:p>
    <w:p w14:paraId="12D27A3A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17. A Kínai Népköztársaság a globalizáció, </w:t>
      </w:r>
      <w:proofErr w:type="spellStart"/>
      <w:r w:rsidRPr="00AD4A31">
        <w:rPr>
          <w:rFonts w:ascii="PT Sans" w:hAnsi="PT Sans" w:cs="Times New Roman"/>
          <w:sz w:val="24"/>
          <w:szCs w:val="24"/>
        </w:rPr>
        <w:t>deglobalizáció</w:t>
      </w:r>
      <w:proofErr w:type="spellEnd"/>
      <w:r w:rsidRPr="00AD4A31">
        <w:rPr>
          <w:rFonts w:ascii="PT Sans" w:hAnsi="PT Sans" w:cs="Times New Roman"/>
          <w:sz w:val="24"/>
          <w:szCs w:val="24"/>
        </w:rPr>
        <w:t xml:space="preserve"> és a gazdasági regionalizmus viszonyai között: új szerepvállalás és törekvések a világgazdasági intézményrendszer átalakítására</w:t>
      </w:r>
    </w:p>
    <w:p w14:paraId="50BF62C5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>18. A Kínai Népköztársaság külpolitikai koncepciójának megújítása: stratégia, biztonság- és geopolitika, prioritásrendszer, nagyhatalmi viszonyok, a regionális politikák és a bilaterális kapcsolatok illeszkedése</w:t>
      </w:r>
    </w:p>
    <w:p w14:paraId="1657F881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19. A Kínai Népköztársaság és a világrend megújítása: érdekek és értékek, multipolaritás és </w:t>
      </w:r>
      <w:proofErr w:type="spellStart"/>
      <w:r w:rsidRPr="00AD4A31">
        <w:rPr>
          <w:rFonts w:ascii="PT Sans" w:hAnsi="PT Sans" w:cs="Times New Roman"/>
          <w:sz w:val="24"/>
          <w:szCs w:val="24"/>
        </w:rPr>
        <w:t>multilateralizmus</w:t>
      </w:r>
      <w:proofErr w:type="spellEnd"/>
      <w:r w:rsidRPr="00AD4A31">
        <w:rPr>
          <w:rFonts w:ascii="PT Sans" w:hAnsi="PT Sans" w:cs="Times New Roman"/>
          <w:sz w:val="24"/>
          <w:szCs w:val="24"/>
        </w:rPr>
        <w:t>, szerepvállalás a globális és regionális nemzetközi szervezetekben, folyamatokban</w:t>
      </w:r>
    </w:p>
    <w:p w14:paraId="3CCE7300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  <w:r w:rsidRPr="00AD4A31">
        <w:rPr>
          <w:rFonts w:ascii="PT Sans" w:hAnsi="PT Sans" w:cs="Times New Roman"/>
          <w:sz w:val="24"/>
          <w:szCs w:val="24"/>
        </w:rPr>
        <w:t xml:space="preserve">20. A Kínai Népköztársaság Európa-politikája: viszony az európai integrációhoz, kapcsolatok az Európai Unióval, </w:t>
      </w:r>
      <w:proofErr w:type="spellStart"/>
      <w:r w:rsidRPr="00AD4A31">
        <w:rPr>
          <w:rFonts w:ascii="PT Sans" w:hAnsi="PT Sans" w:cs="Times New Roman"/>
          <w:sz w:val="24"/>
          <w:szCs w:val="24"/>
        </w:rPr>
        <w:t>szubregionális</w:t>
      </w:r>
      <w:proofErr w:type="spellEnd"/>
      <w:r w:rsidRPr="00AD4A31">
        <w:rPr>
          <w:rFonts w:ascii="PT Sans" w:hAnsi="PT Sans" w:cs="Times New Roman"/>
          <w:sz w:val="24"/>
          <w:szCs w:val="24"/>
        </w:rPr>
        <w:t xml:space="preserve"> törekvések Európában – a kelet-közép-európai térség</w:t>
      </w:r>
    </w:p>
    <w:p w14:paraId="7CFFD137" w14:textId="77777777" w:rsidR="00AD4A31" w:rsidRDefault="00AD4A31" w:rsidP="00AD4A31">
      <w:pPr>
        <w:spacing w:before="240" w:after="240"/>
        <w:jc w:val="both"/>
        <w:rPr>
          <w:rFonts w:ascii="PT Sans" w:hAnsi="PT Sans"/>
          <w:b/>
          <w:bCs/>
          <w:sz w:val="24"/>
          <w:szCs w:val="24"/>
        </w:rPr>
      </w:pPr>
    </w:p>
    <w:p w14:paraId="3865E426" w14:textId="77777777" w:rsidR="00AD4A31" w:rsidRDefault="00AD4A31" w:rsidP="00AD4A31">
      <w:pPr>
        <w:spacing w:before="240" w:after="240"/>
        <w:jc w:val="both"/>
        <w:rPr>
          <w:rFonts w:ascii="PT Sans" w:hAnsi="PT Sans"/>
          <w:b/>
          <w:bCs/>
          <w:sz w:val="24"/>
          <w:szCs w:val="24"/>
        </w:rPr>
      </w:pPr>
    </w:p>
    <w:p w14:paraId="454B4F0B" w14:textId="0F29273A" w:rsidR="00AD4A31" w:rsidRPr="00AD4A31" w:rsidRDefault="00AD4A31" w:rsidP="00AD4A31">
      <w:pPr>
        <w:spacing w:before="240" w:after="240"/>
        <w:jc w:val="both"/>
        <w:rPr>
          <w:rFonts w:ascii="PT Sans" w:hAnsi="PT Sans"/>
          <w:b/>
          <w:bCs/>
          <w:sz w:val="24"/>
          <w:szCs w:val="24"/>
        </w:rPr>
      </w:pPr>
      <w:r>
        <w:rPr>
          <w:rFonts w:ascii="PT Sans" w:hAnsi="PT Sans"/>
          <w:b/>
          <w:bCs/>
          <w:sz w:val="24"/>
          <w:szCs w:val="24"/>
        </w:rPr>
        <w:t xml:space="preserve">III. </w:t>
      </w:r>
      <w:r w:rsidRPr="00AD4A31">
        <w:rPr>
          <w:rFonts w:ascii="PT Sans" w:hAnsi="PT Sans"/>
          <w:b/>
          <w:bCs/>
          <w:sz w:val="24"/>
          <w:szCs w:val="24"/>
        </w:rPr>
        <w:t>INDIA POLITIKAI ÉS TÁRSADALMI RENDSZERE</w:t>
      </w:r>
    </w:p>
    <w:p w14:paraId="626419E3" w14:textId="0FB74701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 w:rsidRPr="00AD4A31">
        <w:rPr>
          <w:rFonts w:ascii="PT Sans" w:hAnsi="PT Sans"/>
        </w:rPr>
        <w:t xml:space="preserve">1. </w:t>
      </w:r>
      <w:r w:rsidRPr="00AD4A31">
        <w:rPr>
          <w:rFonts w:ascii="PT Sans" w:hAnsi="PT Sans"/>
        </w:rPr>
        <w:t>India politikai rendszere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Függetlenség utáni politikai rendszer kialakulása, alkotmány, föderális rendszer, államigazgatás szerkezete, választási rendszer, fő pártok</w:t>
      </w:r>
    </w:p>
    <w:p w14:paraId="43780B73" w14:textId="27D8A2E1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t xml:space="preserve">2. </w:t>
      </w:r>
      <w:r w:rsidRPr="00AD4A31">
        <w:rPr>
          <w:rFonts w:ascii="PT Sans" w:hAnsi="PT Sans"/>
        </w:rPr>
        <w:t>India társadalmi szerkezete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Társadalmi törésvonalak, kasztrendszer és társadalmi hierarchia, dalitok és az alkotmány, Mandal-bizottság, középosztály kialakulása</w:t>
      </w:r>
    </w:p>
    <w:p w14:paraId="39BB0CA4" w14:textId="1F35E0EA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t xml:space="preserve">3. </w:t>
      </w:r>
      <w:r w:rsidRPr="00AD4A31">
        <w:rPr>
          <w:rFonts w:ascii="PT Sans" w:hAnsi="PT Sans"/>
        </w:rPr>
        <w:t>Az indiai gazdaság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Nehru gazdaságpolitikája, protekcionizmus és Licence Raj, gazdasági nyitás, Modi gazdaságpolitikája (</w:t>
      </w:r>
      <w:proofErr w:type="spellStart"/>
      <w:r w:rsidRPr="00AD4A31">
        <w:rPr>
          <w:rFonts w:ascii="PT Sans" w:hAnsi="PT Sans"/>
        </w:rPr>
        <w:t>demonetizáció</w:t>
      </w:r>
      <w:proofErr w:type="spellEnd"/>
      <w:r w:rsidRPr="00AD4A31">
        <w:rPr>
          <w:rFonts w:ascii="PT Sans" w:hAnsi="PT Sans"/>
        </w:rPr>
        <w:t xml:space="preserve">), India kurrens gazdasági helyzete (mezőgazdaság </w:t>
      </w:r>
      <w:proofErr w:type="spellStart"/>
      <w:r w:rsidRPr="00AD4A31">
        <w:rPr>
          <w:rFonts w:ascii="PT Sans" w:hAnsi="PT Sans"/>
        </w:rPr>
        <w:t>vs</w:t>
      </w:r>
      <w:proofErr w:type="spellEnd"/>
      <w:r w:rsidRPr="00AD4A31">
        <w:rPr>
          <w:rFonts w:ascii="PT Sans" w:hAnsi="PT Sans"/>
        </w:rPr>
        <w:t xml:space="preserve">. </w:t>
      </w:r>
      <w:proofErr w:type="spellStart"/>
      <w:r w:rsidRPr="00AD4A31">
        <w:rPr>
          <w:rFonts w:ascii="PT Sans" w:hAnsi="PT Sans"/>
        </w:rPr>
        <w:t>Feldologozóipar</w:t>
      </w:r>
      <w:proofErr w:type="spellEnd"/>
      <w:r w:rsidRPr="00AD4A31">
        <w:rPr>
          <w:rFonts w:ascii="PT Sans" w:hAnsi="PT Sans"/>
        </w:rPr>
        <w:t>), India a nemzetközi gazdaságban</w:t>
      </w:r>
    </w:p>
    <w:p w14:paraId="653FE3AE" w14:textId="5EFE375C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t xml:space="preserve">4. </w:t>
      </w:r>
      <w:r w:rsidRPr="00AD4A31">
        <w:rPr>
          <w:rFonts w:ascii="PT Sans" w:hAnsi="PT Sans"/>
        </w:rPr>
        <w:t>India külpolitikája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Nehru és az El Nem Kötelezettek, Indira Gandhi külpolitikája (</w:t>
      </w:r>
      <w:proofErr w:type="spellStart"/>
      <w:r w:rsidRPr="00AD4A31">
        <w:rPr>
          <w:rFonts w:ascii="PT Sans" w:hAnsi="PT Sans"/>
        </w:rPr>
        <w:t>indo</w:t>
      </w:r>
      <w:proofErr w:type="spellEnd"/>
      <w:r w:rsidRPr="00AD4A31">
        <w:rPr>
          <w:rFonts w:ascii="PT Sans" w:hAnsi="PT Sans"/>
        </w:rPr>
        <w:t>-pakisztáni háború, nukleáris fegyverkezés), India és Pakisztán konfliktusos viszonya, India és Kína határkonfliktusai, stratégiai autonómia koncepciója, India-USA kapcsolatok</w:t>
      </w:r>
    </w:p>
    <w:p w14:paraId="4893BC34" w14:textId="55BAABDD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t xml:space="preserve">5. </w:t>
      </w:r>
      <w:r w:rsidRPr="00AD4A31">
        <w:rPr>
          <w:rFonts w:ascii="PT Sans" w:hAnsi="PT Sans"/>
        </w:rPr>
        <w:t>Az indiai diaszpóra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Az indiai diaszpóra története (USA, Nagy-Britannia, Kanada), anyaországhoz fűződő változó kapcsolatok</w:t>
      </w:r>
    </w:p>
    <w:p w14:paraId="5152A40E" w14:textId="28AA3FA2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t xml:space="preserve">6. </w:t>
      </w:r>
      <w:r w:rsidRPr="00AD4A31">
        <w:rPr>
          <w:rFonts w:ascii="PT Sans" w:hAnsi="PT Sans"/>
        </w:rPr>
        <w:t>Vallás és politika Indiában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 xml:space="preserve">Kommunális erőszak és felosztás, a szekularizmus indiai koncepciója, a vallások egymáshoz fűződő viszonya, politikai hinduizmus kialakulása, fontos alakjai és fő koncepciói, </w:t>
      </w:r>
      <w:proofErr w:type="spellStart"/>
      <w:r w:rsidRPr="00AD4A31">
        <w:rPr>
          <w:rFonts w:ascii="PT Sans" w:hAnsi="PT Sans"/>
        </w:rPr>
        <w:t>Ajódhjá</w:t>
      </w:r>
      <w:proofErr w:type="spellEnd"/>
      <w:r w:rsidRPr="00AD4A31">
        <w:rPr>
          <w:rFonts w:ascii="PT Sans" w:hAnsi="PT Sans"/>
        </w:rPr>
        <w:t>-mozgalom, a BJP és Modi, sáfrányszínű történelem</w:t>
      </w:r>
    </w:p>
    <w:p w14:paraId="64131AA4" w14:textId="7AE3AD7A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7. </w:t>
      </w:r>
      <w:r w:rsidRPr="00AD4A31">
        <w:rPr>
          <w:rFonts w:ascii="PT Sans" w:hAnsi="PT Sans"/>
        </w:rPr>
        <w:t>Nemi szerepek Indiában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Hagyományos hindu családmodellben férfi és női szerepek, nemi szerepek és a gyarmatosítás, gazdasági liberalizáció és a nemi szerepek, nők a gazdaságban, homoszexualitás, nők elleni erőszak</w:t>
      </w:r>
    </w:p>
    <w:p w14:paraId="1DD7A6B6" w14:textId="6C033743" w:rsidR="00AD4A31" w:rsidRPr="00AD4A31" w:rsidRDefault="00AD4A31" w:rsidP="00AD4A31">
      <w:pPr>
        <w:spacing w:before="240" w:after="240"/>
        <w:jc w:val="both"/>
        <w:rPr>
          <w:rFonts w:ascii="PT Sans" w:hAnsi="PT Sans"/>
        </w:rPr>
      </w:pPr>
      <w:r>
        <w:rPr>
          <w:rFonts w:ascii="PT Sans" w:hAnsi="PT Sans"/>
        </w:rPr>
        <w:t xml:space="preserve">8. </w:t>
      </w:r>
      <w:r w:rsidRPr="00AD4A31">
        <w:rPr>
          <w:rFonts w:ascii="PT Sans" w:hAnsi="PT Sans"/>
        </w:rPr>
        <w:t>Város és vidék</w:t>
      </w:r>
      <w:r>
        <w:rPr>
          <w:rFonts w:ascii="PT Sans" w:hAnsi="PT Sans"/>
        </w:rPr>
        <w:t xml:space="preserve">. </w:t>
      </w:r>
      <w:r w:rsidRPr="00AD4A31">
        <w:rPr>
          <w:rFonts w:ascii="PT Sans" w:hAnsi="PT Sans"/>
        </w:rPr>
        <w:t>A falu szimbolikus fontossága, urbanizációs problémák, főbb nagyvárosok</w:t>
      </w:r>
    </w:p>
    <w:p w14:paraId="41DCEAA1" w14:textId="77777777" w:rsidR="00AD4A31" w:rsidRPr="00AD4A31" w:rsidRDefault="00AD4A31" w:rsidP="00AD4A31">
      <w:pPr>
        <w:spacing w:before="240" w:after="240"/>
        <w:jc w:val="both"/>
        <w:rPr>
          <w:rFonts w:ascii="PT Sans" w:hAnsi="PT Sans" w:cs="Times New Roman"/>
          <w:sz w:val="24"/>
          <w:szCs w:val="24"/>
        </w:rPr>
      </w:pPr>
    </w:p>
    <w:p w14:paraId="40675EA0" w14:textId="77777777" w:rsidR="00AD4A31" w:rsidRPr="00AD4A31" w:rsidRDefault="00AD4A31" w:rsidP="00AD4A31">
      <w:pPr>
        <w:spacing w:before="240" w:after="240"/>
        <w:jc w:val="both"/>
        <w:rPr>
          <w:rFonts w:ascii="PT Sans" w:hAnsi="PT Sans"/>
          <w:sz w:val="24"/>
          <w:szCs w:val="24"/>
        </w:rPr>
      </w:pPr>
    </w:p>
    <w:sectPr w:rsidR="00AD4A31" w:rsidRPr="00AD4A31" w:rsidSect="00E629C0">
      <w:footerReference w:type="default" r:id="rId7"/>
      <w:pgSz w:w="11906" w:h="17338"/>
      <w:pgMar w:top="1818" w:right="900" w:bottom="1417" w:left="154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F299" w14:textId="77777777" w:rsidR="00AD4A31" w:rsidRDefault="00AD4A31" w:rsidP="00AD4A31">
      <w:pPr>
        <w:spacing w:after="0" w:line="240" w:lineRule="auto"/>
      </w:pPr>
      <w:r>
        <w:separator/>
      </w:r>
    </w:p>
  </w:endnote>
  <w:endnote w:type="continuationSeparator" w:id="0">
    <w:p w14:paraId="5DCB5D2D" w14:textId="77777777" w:rsidR="00AD4A31" w:rsidRDefault="00AD4A31" w:rsidP="00A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180048"/>
      <w:docPartObj>
        <w:docPartGallery w:val="Page Numbers (Bottom of Page)"/>
        <w:docPartUnique/>
      </w:docPartObj>
    </w:sdtPr>
    <w:sdtEndPr>
      <w:rPr>
        <w:rFonts w:ascii="PT Sans" w:hAnsi="PT Sans"/>
      </w:rPr>
    </w:sdtEndPr>
    <w:sdtContent>
      <w:p w14:paraId="2180B795" w14:textId="41BBEB77" w:rsidR="00AD4A31" w:rsidRPr="00AD4A31" w:rsidRDefault="00AD4A31">
        <w:pPr>
          <w:pStyle w:val="llb"/>
          <w:jc w:val="right"/>
          <w:rPr>
            <w:rFonts w:ascii="PT Sans" w:hAnsi="PT Sans"/>
          </w:rPr>
        </w:pPr>
        <w:r w:rsidRPr="00AD4A31">
          <w:rPr>
            <w:rFonts w:ascii="PT Sans" w:hAnsi="PT Sans"/>
          </w:rPr>
          <w:fldChar w:fldCharType="begin"/>
        </w:r>
        <w:r w:rsidRPr="00AD4A31">
          <w:rPr>
            <w:rFonts w:ascii="PT Sans" w:hAnsi="PT Sans"/>
          </w:rPr>
          <w:instrText>PAGE   \* MERGEFORMAT</w:instrText>
        </w:r>
        <w:r w:rsidRPr="00AD4A31">
          <w:rPr>
            <w:rFonts w:ascii="PT Sans" w:hAnsi="PT Sans"/>
          </w:rPr>
          <w:fldChar w:fldCharType="separate"/>
        </w:r>
        <w:r w:rsidRPr="00AD4A31">
          <w:rPr>
            <w:rFonts w:ascii="PT Sans" w:hAnsi="PT Sans"/>
          </w:rPr>
          <w:t>2</w:t>
        </w:r>
        <w:r w:rsidRPr="00AD4A31">
          <w:rPr>
            <w:rFonts w:ascii="PT Sans" w:hAnsi="PT Sans"/>
          </w:rPr>
          <w:fldChar w:fldCharType="end"/>
        </w:r>
      </w:p>
    </w:sdtContent>
  </w:sdt>
  <w:p w14:paraId="7E0FE033" w14:textId="77777777" w:rsidR="00AD4A31" w:rsidRDefault="00AD4A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95E8" w14:textId="77777777" w:rsidR="00AD4A31" w:rsidRDefault="00AD4A31" w:rsidP="00AD4A31">
      <w:pPr>
        <w:spacing w:after="0" w:line="240" w:lineRule="auto"/>
      </w:pPr>
      <w:r>
        <w:separator/>
      </w:r>
    </w:p>
  </w:footnote>
  <w:footnote w:type="continuationSeparator" w:id="0">
    <w:p w14:paraId="5DF79488" w14:textId="77777777" w:rsidR="00AD4A31" w:rsidRDefault="00AD4A31" w:rsidP="00A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52E"/>
    <w:multiLevelType w:val="hybridMultilevel"/>
    <w:tmpl w:val="FB545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1881"/>
    <w:multiLevelType w:val="hybridMultilevel"/>
    <w:tmpl w:val="8B907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145703">
    <w:abstractNumId w:val="0"/>
  </w:num>
  <w:num w:numId="2" w16cid:durableId="154051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31"/>
    <w:rsid w:val="00A13381"/>
    <w:rsid w:val="00AD4A31"/>
    <w:rsid w:val="00E5081E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9A46"/>
  <w15:chartTrackingRefBased/>
  <w15:docId w15:val="{BA46F5D8-F760-44DB-834F-424B333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4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D4A31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A31"/>
  </w:style>
  <w:style w:type="paragraph" w:styleId="llb">
    <w:name w:val="footer"/>
    <w:basedOn w:val="Norml"/>
    <w:link w:val="llb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720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Salát</dc:creator>
  <cp:keywords/>
  <dc:description/>
  <cp:lastModifiedBy>Gergely Salát</cp:lastModifiedBy>
  <cp:revision>1</cp:revision>
  <dcterms:created xsi:type="dcterms:W3CDTF">2023-12-18T08:12:00Z</dcterms:created>
  <dcterms:modified xsi:type="dcterms:W3CDTF">2023-12-18T08:20:00Z</dcterms:modified>
</cp:coreProperties>
</file>