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95" w:rsidRDefault="00F42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818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1487"/>
        <w:gridCol w:w="8250"/>
      </w:tblGrid>
      <w:tr w:rsidR="00F42595">
        <w:trPr>
          <w:trHeight w:val="386"/>
        </w:trPr>
        <w:tc>
          <w:tcPr>
            <w:tcW w:w="1081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Közkapcsolatok szakirány 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záróvizsga tételsor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I.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PUBLIC RELATIONS ALAPJAI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Tételcsoport: SZERVEZETI KOMMUNIKÁCIÓ, SZERVEZETELMÉLET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szervezeti kommunikáció helye és szerepe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szervezeti kommunikáció és klímája, helye a funkcionalista rendszerelméletben. Szervezetelméletek és –modellek, ideáltípusok. A bizalom definíciója.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SZEKFŰ András: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 szervezetek kommunikációjáról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In: Béres István – Horányi Özséb (szerk.): Társadalmi kommunikáció, Budapest, Osiris, 1999. 86-96.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11-83.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GRIFFIN,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Bevezetés a kommunikációelméletbe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Harmat, 2003. 242-278.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ROSENGREN, Karl Erik: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Kommunikáció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(5. kiadás).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Typotex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2008. 127-161.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FUKUYAMA, Francis: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Bizalom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Európa, 2007, 11-91, 310-325, 357-375, 494-505.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public relations rövid története, fogalmi tartománya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Bogner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-lépcsők, kortárs PR-elméletek. A public relations célja és feladatai, kompetenciaterületei. A társszakmákhoz fűződő viszony. A PR szakember.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BEKE Tamás: A public relations szakma története. Budapest, Management, 2001. 11-127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83-200.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FUKUYAMA, Francis: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Bizalom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Európa, 2007, 11-91, 310-325, 357-375, 494-505.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PRATKANIS, Anthony – ARONSON, Elliot: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ábeszélőgép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Ab Ovo, 1992. 11-63.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BARÁT Tamás: A bizalom tolmácsai.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2001. 41-101.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DEA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Tételcsoport: ALAPFOGALMAK, ESZKÖZRENDSZER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szervezet környezete és magatartása, az intézményi kommunikáció lényege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szervezet típusai, környezetei. A szervezeti magatartása és típusai. A PR helye a szervezet alrendszeriben. A vállalat nyilvánosságpolitikája.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BAKACSI Gyula: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Szervezeti magatartás és vezetés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Budapest, Aula, 2010. 17-30, 141-146.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11-83.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CHIKÁN Attila: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Vállalatgazdaságtan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Aula, 1997. 11-151.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ROÓZ JÓZSEF: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menedzsment alapjai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BGF, 2007. 99-129.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Tóth László: Vállalatgazdaságtan II. Budapest, Líceum, 2015. 75-114.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PR eszközrendszere, alkalmazási lehetőségei. Az E-PR.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Hagyományos eszközök: tévé- és rádióprodukciók, nyomtatott irodalmi eszközök, rendezvények. A PR-film és típusai. Korszerű informatikai (e-PR) eszközök 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SZELES Péter – SZŰCS Tamás – VARGA Zsolt: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Hírnévmenedzsment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Budapest, Révai Digitális, 2013. 283-300.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317-400.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BARÁT Tamás: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bizalom tolmácsai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2001. 303-351.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SZELES Péter: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Public relations a gyakorlatban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Geomédia, 2000. 12-199.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SÓS Péter János: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Mindennapi PR-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ünk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B.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Swan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Partners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2011. 69-126.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FERLING József: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nagy public relations receptkönyv</w:t>
            </w:r>
            <w:r>
              <w:rPr>
                <w:rFonts w:ascii="Arial" w:eastAsia="Arial" w:hAnsi="Arial" w:cs="Arial"/>
                <w:sz w:val="22"/>
                <w:szCs w:val="22"/>
              </w:rPr>
              <w:t>. Pécs, Ferling Kft., 2016. 37-115.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II. KOMPETENCIA-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ÉS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TEVÉKENYSÉGTERÜLETEK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DEA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Tételcsoport: ARCULAT, IMAGE, HÍRNÉV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Az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arculat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mint komplex rendszer. Image és típusai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Az arculat fogalmának fejlődése, az arculat képlete. Image és identitás és a public relations összefüggése. Image-típusok, kialakulásuk, dimenziói.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SZELES Péter – SZŰCS Tamás – VARGA Zsolt: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Hírnévmenedzsment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Budapest, Révai Digitális, 2013. 13-47, 254-283, 319-333.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209-317.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SZELES Péter: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Arculatelmélet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Alapítvány a public relations fejlesztéséért, 2001. 15-305.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SÓS Péter János: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Mindennapi PR-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ünk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B.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Swan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Partners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2011. 7-18, 70-72.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OLIVER, Sandra: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Public relations stratégia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Akadémiai, 2009.59-67.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hírnév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mint vagyon. Menedzselés és mérés, módszerek és eszközök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hírnév fogalma és összetevői.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hírnév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mint immateriális vagyon és helye a szervezet mérlegében. A hírnév mérésének módszerei, modelljei.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SZELES Péter – SZŰCS Tamás – VARGA Zsolt: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Hírnévmenedzsment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Budapest, Révai Digitális, 2013. 13-283.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., Budapest, Perfekt, 2005, 209-317.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SÓS Péter János: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Mindennapi PR-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ünk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B.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Swan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Partners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2011. 9-18.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OLIVER, Sandra: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Public relations stratégia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Akadémiai, 2009. 49-52, 65-67.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BARÁT Tamás: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bizalom tolmácsai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2001. 61-81.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DEA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Tételcsoport: BELSŐ PR, ETIKAI SZEMPONTOK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belső PR működése, a vállalati kultúra szervezeten belüli funkciói.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belső PR és a vállalati kultúra értelmezése és hatásmechanizmusa. A belső közvéleménycsoportok szegmentálása, információáramlás, motiváció.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BARÁT Tamás: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 bizalom tolmácsai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, 2001. 177-182, 261-287.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11-61.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BAKACSI Gyula: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Szervezeti magatartás és vezetés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Aula, 2007. 17-26, 143-147, 222-230.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BARÁT Tamás: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bizalom tolmácsai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2001. 177-182, 261-287.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GALÁNFY Csaba: A belső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kommunikáció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mint nyereségnövelő eszköz. Budapest, Geomédia, 2002. 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FEHÉRVÁRI Ágnes: A szervezeti kultúra szerepe a belső Public Relations</w:t>
            </w:r>
          </w:p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tevékenységben. In: Humán Szemle XVIII évf. 2. szám. Budapest, 2002. 129-146.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B8CCE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public relations etikai alapelvei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Az etika szerepe és jelentősége a PR szakember szempontjából. Public relations szakmai-etikai normák, hazai és nemzetközi szervezetek kódexei.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479-491.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BARÁT Tamás: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 bizalom tolmácsai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, 2001. 353-403.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ZSOLT Péter: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Médiaetika</w:t>
            </w:r>
            <w:r>
              <w:rPr>
                <w:rFonts w:ascii="Arial" w:eastAsia="Arial" w:hAnsi="Arial" w:cs="Arial"/>
                <w:sz w:val="22"/>
                <w:szCs w:val="22"/>
              </w:rPr>
              <w:t>. EU-Synergon, Budapest, 2003. 11-38.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HÁRSFAI Katalin: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Etika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Szent István Társulat, 2006. 16-38.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TÖRÖK Attila: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Üzleti etika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Századvég, 2004. 57-133.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RADETZKY András: Médiaetika és médiajog. PPKE BTK, Budapest, 2017. 90-107.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DEA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Tételcsoport: A KÜLSŐ PR SZAKMATERÜLETEI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B8CCE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marketing és a marketing-PR lényege, funkciói. 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fundraising</w:t>
            </w:r>
            <w:proofErr w:type="spellEnd"/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Aktív és passzív marketing,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Maslow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-féle szükségletelmélet. A piacbefolyásolás eszközei. Az MPR lényege, esernyő-funkciója. Vevőkapcsolati-menedzsment.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BAUER András – BERÁCS József – KENESEI Zsófia: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Marketing alapismeretek. 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Budapest, Aula, 2007. 17-47, 137-167, 309-369.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61-101.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KOTLER, Philip: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Marketingmenedzsment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KJK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Kerszöv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2002. 39-45, 337-345.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RIES,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– RIES, Laura: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pr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tündöklése, a reklám bukása. </w:t>
            </w:r>
            <w:r>
              <w:rPr>
                <w:rFonts w:ascii="Arial" w:eastAsia="Arial" w:hAnsi="Arial" w:cs="Arial"/>
                <w:sz w:val="22"/>
                <w:szCs w:val="22"/>
              </w:rPr>
              <w:t>Budapest, Geomédia, 2005. 21-239.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SÁNDOR Imre: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marketingkommunikáció kézikönyve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Magyar Marketingkommunikáció Oktatás és Kutatás Fejlesztéséért Alapítvány, 2000, 89-103, 251-256, 277-286.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B8CCE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Társadalmi ügyek: a CSR és az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issue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management. Elvek és gyakorlat 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CSR-megatrendjei,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Caroll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-féle CSR-piramis. A közügymenedzsment kialakulása,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issue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-életciklusok, az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issue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management folyamata.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TÓTH Gergely: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A valóban felelős vállalat. 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KÖVET Egyesület, 2007. 8-96.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ANGYAL Ádám: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Vállalatok társadalmi felelősségvállalása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Kossuth, 2009. 18-52, 103-157.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KOTLER, Philip: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Vállalatok társadalmi felelősségvállalása. </w:t>
            </w:r>
            <w:r>
              <w:rPr>
                <w:rFonts w:ascii="Arial" w:eastAsia="Arial" w:hAnsi="Arial" w:cs="Arial"/>
                <w:sz w:val="22"/>
                <w:szCs w:val="22"/>
              </w:rPr>
              <w:t>Budapest, HVG könyvek, 2007. 31-59.</w:t>
            </w:r>
          </w:p>
        </w:tc>
      </w:tr>
      <w:tr w:rsidR="00F42595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F42595" w:rsidRDefault="00F4259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vAlign w:val="center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., Budapest, Perfekt, 2005, 221-275.</w:t>
            </w:r>
          </w:p>
        </w:tc>
      </w:tr>
      <w:tr w:rsidR="00F42595">
        <w:trPr>
          <w:trHeight w:val="300"/>
        </w:trPr>
        <w:tc>
          <w:tcPr>
            <w:tcW w:w="1081" w:type="dxa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F42595" w:rsidRDefault="00F4259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vAlign w:val="center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LIGETI György: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CSR – vállalati felelősségvállalás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Kurt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Lewin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Alapítvány, 2006. 15-100, 119-126, 166-173, 181-201.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B8CCE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Kormányzati, közigazgatási kommunikáció: 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public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affairs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és a lobbizás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PA részterületei, a politikai kommunikáció területei, sajátosságai. A lobbi-tevékenység eredet, lényege és fajtái. Lobbi-modellek.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THOMSON, Stewart – JOHN, Steve: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Affairs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, lobbizás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Budapest, Akadémiai, 2009. 13-129.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BARÁT Tamás: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 bizalom tolmácsai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, 2001. 215-225.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sz w:val="22"/>
                <w:szCs w:val="22"/>
              </w:rPr>
              <w:t>., Budapest, Perfekt, 2005, 181-221,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NYÁRÁDY Gáborné: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public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affairs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magyarországi vonatkozásai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In: Thomson, Stewart – John, Steve: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Affairs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, lobbizás</w:t>
            </w:r>
            <w:r>
              <w:rPr>
                <w:rFonts w:ascii="Arial" w:eastAsia="Arial" w:hAnsi="Arial" w:cs="Arial"/>
                <w:sz w:val="22"/>
                <w:szCs w:val="22"/>
              </w:rPr>
              <w:t>. Budapest, Akadémiai, 2009. 167-207.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MERKOVITY Norbert: A politikai tartalmú közlésfolyamat új kora. Szeged, SZTE, 2011. 18-44, 92-121.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Kríziskommunikáció: a válság komplex kezelése, definíciók, válságterv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Konfliktusfajták, a válság forrása. A folyamat intenzitása, a sajtó és a nyilvánosság kézben tartása. Válságkezelés, válságszintek. Feladatok válságok idején.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ANTHONISSEN, Peter </w:t>
            </w: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Frans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Kríziskommunikáció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Budapest, HVG, 2009. 42-88, 159-199, 221-255.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275-327.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SÓS Péter János: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Mindennapi PR-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ünk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B.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Swan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Partners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2011. 138-163.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BARLAI Róbert – Kővágó György: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Válság- (katasztrófa-) kommunikáció. Tanulmányok és szemelvények.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Budapest, Petit Real, 1996. 7-90.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FEKETE Ferenc – SÁNDOR Imre: Válságkezelés és kríziskommunikáció. Budapest, BKE, 1997. 19-83, 123-223.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Médiakapcsolatok és eszközei a PR-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ben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. A médiapiac működése, felépítése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tömegkommunikáció és a média jellemzői, a sajtó és a PR viszonya. A „PR-cikk”. A sajtókapcsolatok módszerei és eszközei. Publicitásszervezés, médiaelemzés.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SÓS Péter János: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Mindennapi PR-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ünk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. Budapest, B. </w:t>
            </w: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Swan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Partners</w:t>
            </w:r>
            <w:proofErr w:type="spellEnd"/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, 2011. 72-112.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101-181.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DOMOKOS Lajos: Press &amp; PR.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Teleschola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2005. 177-387.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NÓGRÁDI György: Ide nekem a címlapot is! A médiakapcsolatok művészete. Budapest, Presskontakt, 2004. 17-71, 117-183. 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MAST, Claudia: Az újságírás ábécéje.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Greger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– Delacroix – SZTE Budapest Média Intézet, Budapest, 1998, 15-83, 137-233, 329-372.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DEAD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>Tételcsoport: KAMPÁNY, TERVEZÉS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PR tevékenység tervezése: stratégia, taktika, akció. Analízisek és modellek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tervezés folyamata és jelentősége a PR-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Analízisek (SWOT, PEST), tervezési modellek (PESO, RACE, SMART, SPIN).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briefing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folyamata.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OLIVER, Sandra: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Public relations stratégia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 Budapest, Akadémiai, 2009. 15-59, 111-127.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355-453.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SÓS Péter János: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Mindennapi PR-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ünk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B.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Swan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Partners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2011. 31-69.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BARÁT Tamás: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bizalom tolmácsai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Medipen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2001. 72-77.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CSATH Magdolna: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Stratégiai tervezés a 21. században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Nemzeti Tankönyvkiadó, 2004. 17-23, 50-70, 195-204. </w:t>
            </w:r>
          </w:p>
        </w:tc>
      </w:tr>
      <w:tr w:rsidR="00F42595">
        <w:trPr>
          <w:trHeight w:val="300"/>
        </w:trPr>
        <w:tc>
          <w:tcPr>
            <w:tcW w:w="10818" w:type="dxa"/>
            <w:gridSpan w:val="3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595" w:rsidRDefault="00F42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2595">
        <w:trPr>
          <w:trHeight w:val="300"/>
        </w:trPr>
        <w:tc>
          <w:tcPr>
            <w:tcW w:w="1081" w:type="dxa"/>
            <w:vMerge w:val="restart"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15. tétel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Címe: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Kampánykommunikáció: típusok, érdekgazdák és célcsoportok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Témakörök: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Az integrált kommunikáció jelentősége, hatásmechanizmusa. Akcióterv,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budget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timing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steakholder-mapping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célcsoportképzés, -szegmentálás.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Szakirodalom:</w:t>
            </w: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NYÁRÁDY Gáborné – SZELES Péter: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Public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Relation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II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., Budapest, Perfekt, 2005, 393-411.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SÁRKÖZY Erika (szerk.): Kampánykommunikáció, Budapest, Akadémiai Kiadó, 2003. 9-65.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FRIDA Balázs: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Bevezetés a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kampányológiába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Budapest,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Hand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2008. 16-48.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BURJÁN András: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Internetes politikai kampány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Médiakutató 2010 ősz. 93-103.</w:t>
            </w:r>
          </w:p>
        </w:tc>
      </w:tr>
      <w:tr w:rsidR="00F42595">
        <w:trPr>
          <w:trHeight w:val="300"/>
        </w:trPr>
        <w:tc>
          <w:tcPr>
            <w:tcW w:w="1081" w:type="dxa"/>
            <w:vMerge/>
            <w:tcBorders>
              <w:top w:val="single" w:sz="6" w:space="0" w:color="CCCCCC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F4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2595" w:rsidRDefault="00AC383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MIHÁLYFFY Zsuzsanna: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Politikai kampánykommunikáció.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Budapest,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L’Harmattan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2009. 5-113.</w:t>
            </w:r>
          </w:p>
        </w:tc>
      </w:tr>
    </w:tbl>
    <w:p w:rsidR="00F42595" w:rsidRDefault="00F42595">
      <w:pPr>
        <w:rPr>
          <w:rFonts w:ascii="Arial" w:eastAsia="Arial" w:hAnsi="Arial" w:cs="Arial"/>
        </w:rPr>
      </w:pPr>
    </w:p>
    <w:sectPr w:rsidR="00F42595">
      <w:headerReference w:type="default" r:id="rId7"/>
      <w:pgSz w:w="11900" w:h="16840"/>
      <w:pgMar w:top="568" w:right="560" w:bottom="426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3B" w:rsidRDefault="00AC383B">
      <w:r>
        <w:separator/>
      </w:r>
    </w:p>
  </w:endnote>
  <w:endnote w:type="continuationSeparator" w:id="0">
    <w:p w:rsidR="00AC383B" w:rsidRDefault="00AC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3B" w:rsidRDefault="00AC383B">
      <w:r>
        <w:separator/>
      </w:r>
    </w:p>
  </w:footnote>
  <w:footnote w:type="continuationSeparator" w:id="0">
    <w:p w:rsidR="00AC383B" w:rsidRDefault="00AC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95" w:rsidRDefault="00AC38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PPKE BTK Kommunikáció- és Médiatudományi Intézet, közkapcsolatok szakirány (BA) záróvizsga tételsor (</w:t>
    </w:r>
    <w:r w:rsidR="007F3554">
      <w:rPr>
        <w:rFonts w:ascii="Arial" w:eastAsia="Arial" w:hAnsi="Arial" w:cs="Arial"/>
        <w:color w:val="000000"/>
        <w:sz w:val="16"/>
        <w:szCs w:val="16"/>
      </w:rPr>
      <w:t>v5</w:t>
    </w:r>
    <w:r>
      <w:rPr>
        <w:rFonts w:ascii="Arial" w:eastAsia="Arial" w:hAnsi="Arial" w:cs="Arial"/>
        <w:color w:val="000000"/>
        <w:sz w:val="16"/>
        <w:szCs w:val="16"/>
      </w:rPr>
      <w:t>)</w:t>
    </w:r>
  </w:p>
  <w:p w:rsidR="00F42595" w:rsidRDefault="00F425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:rsidR="00F42595" w:rsidRDefault="00F425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5"/>
    <w:rsid w:val="005B56C2"/>
    <w:rsid w:val="007F3554"/>
    <w:rsid w:val="00AC383B"/>
    <w:rsid w:val="00F4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0AF9D-60D9-4145-907D-EDDC0B36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2580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2580"/>
    <w:rPr>
      <w:rFonts w:ascii="Lucida Grande CE" w:hAnsi="Lucida Grande C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282580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282580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282580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282580"/>
    <w:rPr>
      <w:lang w:val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+AZhvWYNp47RNVA6MhVxPYF4Sw==">AMUW2mWy5cHxEkNOJQTIXpAwzjj/ZIMSabPQMknRfUY0NX9CPEIJojQA16nsEZ9s+uAlDi6L0hqLYiXbsqC+DDIoaQxPNNZ3yA2uUxgCQUVfeRnTU8Il4KN82pfbmhPqIS57lHXyF49Y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9940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 Radetzky</dc:creator>
  <cp:lastModifiedBy>Bajnóczi-Dornics Szilvia</cp:lastModifiedBy>
  <cp:revision>2</cp:revision>
  <dcterms:created xsi:type="dcterms:W3CDTF">2025-01-30T10:28:00Z</dcterms:created>
  <dcterms:modified xsi:type="dcterms:W3CDTF">2025-01-30T10:28:00Z</dcterms:modified>
</cp:coreProperties>
</file>