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554"/>
      </w:tblGrid>
      <w:tr w:rsidR="006F6543" w:rsidRPr="00295F91" w:rsidTr="006711A5"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295F9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bookmarkStart w:id="0" w:name="_GoBack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BT-PSZ-4360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Pedagógus és segítő szakemberek együttműködése</w:t>
            </w:r>
            <w:bookmarkEnd w:id="0"/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5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295F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szeminárium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5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295F91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esetismertetés, szerepjáték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/ egyéb): </w:t>
            </w:r>
            <w:proofErr w:type="spellStart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295F91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1V.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Előtanulmányi feltételek: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6F6543" w:rsidRPr="00295F91" w:rsidTr="006711A5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5F91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b/>
              </w:rPr>
              <w:t>kurzus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b/>
              </w:rPr>
              <w:t xml:space="preserve"> célja: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A tantárgy célja, hogy a hallgatók ismerjék meg a pedagógiai szakterületeknek és a gyermekellátással foglakozó intézmények kapcsolatát. A hallgatók legyenek képesek felismerni, és alkalmazni, az itt szerzett ismereteket, gyakorlati munkájuk során.</w:t>
            </w:r>
          </w:p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5F91">
              <w:rPr>
                <w:rFonts w:ascii="Times New Roman" w:eastAsia="Times New Roman" w:hAnsi="Times New Roman" w:cs="Times New Roman"/>
                <w:b/>
              </w:rPr>
              <w:t>Főbb tematikai csomópontok:</w:t>
            </w:r>
          </w:p>
          <w:p w:rsidR="006F6543" w:rsidRPr="00295F91" w:rsidRDefault="006F6543" w:rsidP="006F654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A bölcsődei, óvodai, gyermekekkel foglalkozó intézmények kapcsolatrendszere</w:t>
            </w:r>
          </w:p>
          <w:p w:rsidR="006F6543" w:rsidRPr="00295F91" w:rsidRDefault="006F6543" w:rsidP="006F654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Iskolán belüli és iskolán kívüli gyermekekkel foglalkozó intézmények kapcsolatrendszere</w:t>
            </w:r>
          </w:p>
          <w:p w:rsidR="006F6543" w:rsidRPr="00295F91" w:rsidRDefault="006F6543" w:rsidP="006F654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nevelési tanácsadó, EGYMI, gyermekjóléti szolgálat </w:t>
            </w:r>
          </w:p>
          <w:p w:rsidR="006F6543" w:rsidRPr="00295F91" w:rsidRDefault="006F6543" w:rsidP="006F654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korai fejlesztés, gyógypedagógiai a szociális intézmények egymással összefüggő kapcsolata 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F6543" w:rsidRPr="00295F91" w:rsidRDefault="006F6543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295F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6F6543" w:rsidRPr="00295F91" w:rsidRDefault="006F6543" w:rsidP="006711A5">
            <w:pPr>
              <w:spacing w:after="60"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Kötelező irodalom: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</w:rPr>
            </w:pPr>
            <w:r w:rsidRPr="00295F91">
              <w:rPr>
                <w:rFonts w:ascii="Times New Roman" w:eastAsia="Times New Roman" w:hAnsi="Times New Roman" w:cs="Times New Roman"/>
              </w:rPr>
              <w:t xml:space="preserve">Bábosik István (2004) </w:t>
            </w:r>
            <w:r w:rsidRPr="00295F91">
              <w:rPr>
                <w:rFonts w:ascii="Times New Roman" w:eastAsia="Times New Roman" w:hAnsi="Times New Roman" w:cs="Times New Roman"/>
                <w:i/>
              </w:rPr>
              <w:t>Neveléselmélet</w:t>
            </w:r>
            <w:r w:rsidRPr="00295F91">
              <w:rPr>
                <w:rFonts w:ascii="Times New Roman" w:eastAsia="Times New Roman" w:hAnsi="Times New Roman" w:cs="Times New Roman"/>
              </w:rPr>
              <w:t>. Budapest, Osiris Kiadó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95F91">
              <w:rPr>
                <w:rFonts w:ascii="Times New Roman" w:eastAsia="Times New Roman" w:hAnsi="Times New Roman" w:cs="Times New Roman"/>
              </w:rPr>
              <w:t>Golnhofer</w:t>
            </w:r>
            <w:proofErr w:type="spellEnd"/>
            <w:r w:rsidRPr="00295F91">
              <w:rPr>
                <w:rFonts w:ascii="Times New Roman" w:eastAsia="Times New Roman" w:hAnsi="Times New Roman" w:cs="Times New Roman"/>
              </w:rPr>
              <w:t xml:space="preserve"> Erzsébet – Szabolcs Éva (2005) </w:t>
            </w:r>
            <w:r w:rsidRPr="00295F91">
              <w:rPr>
                <w:rFonts w:ascii="Times New Roman" w:eastAsia="Times New Roman" w:hAnsi="Times New Roman" w:cs="Times New Roman"/>
                <w:i/>
              </w:rPr>
              <w:t>Gyermekkor, nézőpontok, narratívák.</w:t>
            </w:r>
            <w:r w:rsidRPr="00295F91">
              <w:rPr>
                <w:rFonts w:ascii="Times New Roman" w:eastAsia="Times New Roman" w:hAnsi="Times New Roman" w:cs="Times New Roman"/>
              </w:rPr>
              <w:t xml:space="preserve"> Eötvös József Könyvkiadó. Budapest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</w:rPr>
            </w:pPr>
            <w:r w:rsidRPr="00295F91">
              <w:rPr>
                <w:rFonts w:ascii="Times New Roman" w:eastAsia="Times New Roman" w:hAnsi="Times New Roman" w:cs="Times New Roman"/>
              </w:rPr>
              <w:t xml:space="preserve">M. Nádasi Mária (2006)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i/>
              </w:rPr>
              <w:t xml:space="preserve"> gyakorlati pedagógia néhány alapkérdése</w:t>
            </w:r>
            <w:r w:rsidRPr="00295F91">
              <w:rPr>
                <w:rFonts w:ascii="Times New Roman" w:eastAsia="Times New Roman" w:hAnsi="Times New Roman" w:cs="Times New Roman"/>
              </w:rPr>
              <w:t xml:space="preserve">. ELTE PPK. 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295F91">
              <w:rPr>
                <w:rFonts w:ascii="Times New Roman" w:eastAsia="Times New Roman" w:hAnsi="Times New Roman" w:cs="Times New Roman"/>
                <w:i/>
              </w:rPr>
              <w:t>2011. évi CXC. törvény a nemzeti köznevelésről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295F91">
              <w:rPr>
                <w:rFonts w:ascii="Times New Roman" w:eastAsia="Times New Roman" w:hAnsi="Times New Roman" w:cs="Times New Roman"/>
                <w:i/>
              </w:rPr>
              <w:t>15/2013. (II. 26.) EMMI rendelet a pedagógiai szakszolgálati intézmények működéséről</w:t>
            </w:r>
          </w:p>
          <w:p w:rsidR="006F6543" w:rsidRPr="00295F91" w:rsidRDefault="006F6543" w:rsidP="006F6543">
            <w:pPr>
              <w:numPr>
                <w:ilvl w:val="0"/>
                <w:numId w:val="1"/>
              </w:numPr>
              <w:spacing w:after="0" w:line="240" w:lineRule="auto"/>
              <w:ind w:left="488" w:hanging="377"/>
              <w:contextualSpacing/>
              <w:rPr>
                <w:rFonts w:ascii="Times New Roman" w:eastAsia="Times New Roman" w:hAnsi="Times New Roman" w:cs="Times New Roman"/>
              </w:rPr>
            </w:pPr>
            <w:r w:rsidRPr="00295F91">
              <w:rPr>
                <w:rFonts w:ascii="Times New Roman" w:eastAsia="Times New Roman" w:hAnsi="Times New Roman" w:cs="Times New Roman"/>
              </w:rPr>
              <w:t xml:space="preserve">Csók Tímea (2015) </w:t>
            </w:r>
            <w:proofErr w:type="gramStart"/>
            <w:r w:rsidRPr="00295F91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295F91">
              <w:rPr>
                <w:rFonts w:ascii="Times New Roman" w:eastAsia="Times New Roman" w:hAnsi="Times New Roman" w:cs="Times New Roman"/>
              </w:rPr>
              <w:t xml:space="preserve"> logopédusi munka és az ellátórendszer kapcsolatának vizsgálata. In: </w:t>
            </w:r>
            <w:r w:rsidRPr="00295F91">
              <w:rPr>
                <w:rFonts w:ascii="Times New Roman" w:eastAsia="Times New Roman" w:hAnsi="Times New Roman" w:cs="Times New Roman"/>
                <w:i/>
              </w:rPr>
              <w:t>Gyógypedagógiai Szemle</w:t>
            </w:r>
            <w:r w:rsidRPr="00295F91">
              <w:rPr>
                <w:rFonts w:ascii="Times New Roman" w:eastAsia="Times New Roman" w:hAnsi="Times New Roman" w:cs="Times New Roman"/>
              </w:rPr>
              <w:t xml:space="preserve"> XLIII. Évfolyam, I. 13-25.</w:t>
            </w:r>
          </w:p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5F91">
              <w:rPr>
                <w:rFonts w:ascii="Times New Roman" w:eastAsia="Times New Roman" w:hAnsi="Times New Roman" w:cs="Times New Roman"/>
                <w:b/>
              </w:rPr>
              <w:t>Ajánlott irodalom:</w:t>
            </w:r>
          </w:p>
          <w:p w:rsidR="006F6543" w:rsidRPr="00295F91" w:rsidRDefault="006F6543" w:rsidP="006F6543">
            <w:pPr>
              <w:numPr>
                <w:ilvl w:val="0"/>
                <w:numId w:val="2"/>
              </w:numPr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5F91">
              <w:rPr>
                <w:rFonts w:ascii="Times New Roman" w:eastAsia="Times New Roman" w:hAnsi="Times New Roman" w:cs="Times New Roman"/>
              </w:rPr>
              <w:t>Weiss, Donald H. (1989) Hogyan bánjunk a nehéz emberekkel? Park Kiadó. Budapest.</w:t>
            </w:r>
          </w:p>
          <w:p w:rsidR="006F6543" w:rsidRPr="00295F91" w:rsidRDefault="006F6543" w:rsidP="006F6543">
            <w:pPr>
              <w:numPr>
                <w:ilvl w:val="0"/>
                <w:numId w:val="2"/>
              </w:numPr>
              <w:spacing w:before="60" w:after="0" w:line="240" w:lineRule="auto"/>
              <w:ind w:left="488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spellStart"/>
            <w:r w:rsidRPr="00295F91">
              <w:rPr>
                <w:rFonts w:ascii="Times New Roman" w:eastAsia="Times New Roman" w:hAnsi="Times New Roman" w:cs="Times New Roman"/>
              </w:rPr>
              <w:t>Dawson</w:t>
            </w:r>
            <w:proofErr w:type="spellEnd"/>
            <w:r w:rsidRPr="00295F91">
              <w:rPr>
                <w:rFonts w:ascii="Times New Roman" w:eastAsia="Times New Roman" w:hAnsi="Times New Roman" w:cs="Times New Roman"/>
              </w:rPr>
              <w:t>, Roger (2000) Nyerő tárgyalási taktikák. Bagolyvár Kiadó.</w:t>
            </w:r>
          </w:p>
        </w:tc>
      </w:tr>
      <w:tr w:rsidR="006F6543" w:rsidRPr="00295F91" w:rsidTr="006711A5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295F91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6F6543" w:rsidRPr="00295F91" w:rsidTr="006711A5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a) tudása</w:t>
            </w:r>
          </w:p>
          <w:p w:rsidR="006F6543" w:rsidRPr="00295F91" w:rsidRDefault="006F6543" w:rsidP="006F6543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Ismeri a vonatkozó jogi szabályozókat</w:t>
            </w:r>
          </w:p>
          <w:p w:rsidR="006F6543" w:rsidRPr="00295F91" w:rsidRDefault="006F6543" w:rsidP="006F6543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Ismeri az ellátórendszer működésének alapjait </w:t>
            </w:r>
          </w:p>
          <w:p w:rsidR="006F6543" w:rsidRPr="00295F91" w:rsidRDefault="006F6543" w:rsidP="006F6543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Ismeri a bölcsőde, az óvoda, a köznevelési intézmények, valamint a szakszolgálat együttműködésének jellemzőit.</w:t>
            </w:r>
          </w:p>
          <w:p w:rsidR="006F6543" w:rsidRPr="00295F91" w:rsidRDefault="006F6543" w:rsidP="006F6543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Ismeri az EGYMI és más segítő szervezetek együttműködését.</w:t>
            </w:r>
          </w:p>
          <w:p w:rsidR="006F6543" w:rsidRPr="00295F91" w:rsidRDefault="006F6543" w:rsidP="006711A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b) képességei</w:t>
            </w:r>
          </w:p>
          <w:p w:rsidR="006F6543" w:rsidRPr="00295F91" w:rsidRDefault="006F6543" w:rsidP="006F6543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630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Képes a segítő szakmák szakembereivel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konstruktív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 xml:space="preserve"> együttműködést kialakítani. </w:t>
            </w:r>
          </w:p>
          <w:p w:rsidR="006F6543" w:rsidRPr="00295F91" w:rsidRDefault="006F6543" w:rsidP="006F6543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Képes a közös munka során a segítőkkel együtt gondolkodni. </w:t>
            </w:r>
          </w:p>
          <w:p w:rsidR="006F6543" w:rsidRPr="00295F91" w:rsidRDefault="006F6543" w:rsidP="006711A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c) attitűdje</w:t>
            </w:r>
          </w:p>
          <w:p w:rsidR="006F6543" w:rsidRPr="00295F91" w:rsidRDefault="006F6543" w:rsidP="006F6543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295F91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Elkötelezett a különböző intézmények képviselőivel való együttműködésben.</w:t>
            </w:r>
          </w:p>
        </w:tc>
      </w:tr>
      <w:tr w:rsidR="006F6543" w:rsidRPr="00295F91" w:rsidTr="006711A5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Virághné </w:t>
            </w:r>
            <w:proofErr w:type="spellStart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Ratimovszky</w:t>
            </w:r>
            <w:proofErr w:type="spellEnd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Kornélia</w:t>
            </w:r>
          </w:p>
        </w:tc>
      </w:tr>
      <w:tr w:rsidR="006F6543" w:rsidRPr="00295F91" w:rsidTr="006711A5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F6543" w:rsidRPr="00295F91" w:rsidRDefault="006F6543" w:rsidP="0067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95F91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95F91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95F9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</w:tbl>
    <w:p w:rsidR="00CC2C26" w:rsidRDefault="00CC2C26"/>
    <w:sectPr w:rsidR="00CC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3B3"/>
    <w:multiLevelType w:val="hybridMultilevel"/>
    <w:tmpl w:val="9684F06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1F8"/>
    <w:multiLevelType w:val="hybridMultilevel"/>
    <w:tmpl w:val="0F7C6C8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029"/>
    <w:multiLevelType w:val="hybridMultilevel"/>
    <w:tmpl w:val="361C24C6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82B7732"/>
    <w:multiLevelType w:val="hybridMultilevel"/>
    <w:tmpl w:val="0FDCBD20"/>
    <w:lvl w:ilvl="0" w:tplc="2042D97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A7828D6"/>
    <w:multiLevelType w:val="hybridMultilevel"/>
    <w:tmpl w:val="C5BEAE3E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3F69"/>
    <w:multiLevelType w:val="hybridMultilevel"/>
    <w:tmpl w:val="B1163530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43"/>
    <w:rsid w:val="006F6543"/>
    <w:rsid w:val="00C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FE89-C5C7-49C8-837A-5BCD0A89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5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1</cp:revision>
  <dcterms:created xsi:type="dcterms:W3CDTF">2020-10-07T13:20:00Z</dcterms:created>
  <dcterms:modified xsi:type="dcterms:W3CDTF">2020-10-07T13:21:00Z</dcterms:modified>
</cp:coreProperties>
</file>