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68339" w14:textId="77777777" w:rsidR="0037612A" w:rsidRDefault="0037612A" w:rsidP="0037612A">
      <w:pPr>
        <w:pStyle w:val="Cm"/>
        <w:spacing w:line="320" w:lineRule="exact"/>
        <w:rPr>
          <w:b/>
          <w:bCs/>
          <w:caps/>
        </w:rPr>
      </w:pPr>
      <w:r>
        <w:rPr>
          <w:b/>
          <w:bCs/>
          <w:caps/>
        </w:rPr>
        <w:t>TÁRSADALMI VISELKEDÉS és devianciák szociológiája</w:t>
      </w:r>
    </w:p>
    <w:p w14:paraId="4934D329" w14:textId="77777777" w:rsidR="0037612A" w:rsidRDefault="0037612A" w:rsidP="0037612A">
      <w:pPr>
        <w:pStyle w:val="Cm"/>
        <w:spacing w:line="320" w:lineRule="exact"/>
        <w:rPr>
          <w:b/>
          <w:bCs/>
        </w:rPr>
      </w:pPr>
    </w:p>
    <w:p w14:paraId="0A95A13E" w14:textId="77777777" w:rsidR="0037612A" w:rsidRDefault="0037612A" w:rsidP="0037612A">
      <w:pPr>
        <w:pStyle w:val="Cm"/>
        <w:spacing w:line="320" w:lineRule="exact"/>
        <w:rPr>
          <w:b/>
          <w:bCs/>
        </w:rPr>
      </w:pPr>
      <w:proofErr w:type="gramStart"/>
      <w:r>
        <w:rPr>
          <w:b/>
          <w:bCs/>
        </w:rPr>
        <w:t>mesterképzési</w:t>
      </w:r>
      <w:proofErr w:type="gramEnd"/>
      <w:r>
        <w:rPr>
          <w:b/>
          <w:bCs/>
        </w:rPr>
        <w:t xml:space="preserve"> (MA) specializáció</w:t>
      </w:r>
    </w:p>
    <w:p w14:paraId="295776BB" w14:textId="77777777" w:rsidR="0037612A" w:rsidRDefault="0037612A" w:rsidP="0037612A"/>
    <w:p w14:paraId="1B72A80C" w14:textId="77777777" w:rsidR="0037612A" w:rsidRDefault="0037612A" w:rsidP="0037612A">
      <w:pPr>
        <w:jc w:val="center"/>
        <w:rPr>
          <w:b/>
          <w:bCs/>
          <w:smallCaps/>
        </w:rPr>
      </w:pPr>
      <w:r>
        <w:rPr>
          <w:b/>
          <w:bCs/>
          <w:smallCaps/>
        </w:rPr>
        <w:t>PPKE BTK</w:t>
      </w:r>
    </w:p>
    <w:p w14:paraId="18A58C1C" w14:textId="77777777" w:rsidR="0037612A" w:rsidRPr="0074115F" w:rsidRDefault="0037612A" w:rsidP="0037612A">
      <w:pPr>
        <w:pStyle w:val="Cmsor1"/>
        <w:rPr>
          <w:smallCaps w:val="0"/>
        </w:rPr>
      </w:pPr>
      <w:r w:rsidRPr="0074115F">
        <w:rPr>
          <w:smallCaps w:val="0"/>
        </w:rPr>
        <w:t>Szociológiai Intézet</w:t>
      </w:r>
    </w:p>
    <w:p w14:paraId="21FCC70B" w14:textId="77777777" w:rsidR="0037612A" w:rsidRDefault="0037612A" w:rsidP="0037612A">
      <w:pPr>
        <w:pStyle w:val="Szvegtrzsbehzssal"/>
        <w:spacing w:line="320" w:lineRule="exact"/>
        <w:ind w:left="0"/>
        <w:jc w:val="left"/>
      </w:pPr>
    </w:p>
    <w:p w14:paraId="796CC5A9" w14:textId="77777777" w:rsidR="0037612A" w:rsidRDefault="0037612A" w:rsidP="0037612A">
      <w:pPr>
        <w:pStyle w:val="Szvegtrzsbehzssal"/>
        <w:spacing w:line="320" w:lineRule="exact"/>
        <w:ind w:left="0"/>
        <w:jc w:val="left"/>
        <w:rPr>
          <w:b/>
          <w:bCs/>
          <w:sz w:val="24"/>
        </w:rPr>
      </w:pPr>
    </w:p>
    <w:p w14:paraId="5CE7EE56" w14:textId="77777777" w:rsidR="0037612A" w:rsidRDefault="0037612A" w:rsidP="0037612A">
      <w:pPr>
        <w:pStyle w:val="Szvegtrzsbehzssal"/>
        <w:spacing w:line="320" w:lineRule="exact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>Specializációfelelős:</w:t>
      </w:r>
    </w:p>
    <w:p w14:paraId="48AF4284" w14:textId="77777777" w:rsidR="0037612A" w:rsidRDefault="0037612A" w:rsidP="0037612A">
      <w:pPr>
        <w:pStyle w:val="Szvegtrzsbehzssal"/>
        <w:spacing w:line="320" w:lineRule="exact"/>
        <w:ind w:left="0"/>
        <w:jc w:val="left"/>
        <w:rPr>
          <w:sz w:val="24"/>
        </w:rPr>
      </w:pPr>
      <w:r>
        <w:rPr>
          <w:sz w:val="24"/>
        </w:rPr>
        <w:t>Dr. Hidas Zoltán (PhD, egyetemi tanár, intézetvezető)</w:t>
      </w:r>
    </w:p>
    <w:p w14:paraId="0697A3AA" w14:textId="77777777" w:rsidR="0037612A" w:rsidRDefault="0037612A" w:rsidP="0037612A">
      <w:pPr>
        <w:pStyle w:val="Szvegtrzsbehzssal"/>
        <w:spacing w:line="320" w:lineRule="exact"/>
        <w:ind w:left="0"/>
        <w:jc w:val="left"/>
        <w:rPr>
          <w:b/>
          <w:bCs/>
          <w:sz w:val="24"/>
        </w:rPr>
      </w:pPr>
    </w:p>
    <w:p w14:paraId="026E5ED8" w14:textId="77777777" w:rsidR="0037612A" w:rsidRDefault="0037612A" w:rsidP="0037612A">
      <w:pPr>
        <w:pStyle w:val="Szvegtrzsbehzssal"/>
        <w:spacing w:line="320" w:lineRule="exact"/>
        <w:ind w:left="0"/>
        <w:jc w:val="left"/>
        <w:rPr>
          <w:b/>
          <w:bCs/>
          <w:sz w:val="24"/>
        </w:rPr>
      </w:pPr>
    </w:p>
    <w:p w14:paraId="5F392CC7" w14:textId="77777777" w:rsidR="0037612A" w:rsidRPr="00766AE3" w:rsidRDefault="0037612A" w:rsidP="0037612A">
      <w:pPr>
        <w:pStyle w:val="Szvegtrzsbehzssal"/>
        <w:spacing w:after="120" w:line="320" w:lineRule="exact"/>
        <w:ind w:left="0"/>
        <w:jc w:val="left"/>
        <w:rPr>
          <w:b/>
          <w:bCs/>
          <w:sz w:val="24"/>
        </w:rPr>
      </w:pPr>
      <w:r>
        <w:rPr>
          <w:b/>
          <w:bCs/>
          <w:sz w:val="24"/>
        </w:rPr>
        <w:t>A specializáció programja</w:t>
      </w:r>
    </w:p>
    <w:p w14:paraId="2F77C3DC" w14:textId="77777777" w:rsidR="0037612A" w:rsidRDefault="0037612A" w:rsidP="0037612A">
      <w:pPr>
        <w:pStyle w:val="Szvegtrzs"/>
        <w:spacing w:line="340" w:lineRule="exact"/>
      </w:pPr>
      <w:r>
        <w:t>A specializáció jellegét a társadalomtudományok „</w:t>
      </w:r>
      <w:proofErr w:type="spellStart"/>
      <w:r>
        <w:t>kulturalista</w:t>
      </w:r>
      <w:proofErr w:type="spellEnd"/>
      <w:r>
        <w:t>” szemlélete határozza meg, amelynek alapgondolata szerint a világot általunk sokféleképpen értelmezett volta teszi emb</w:t>
      </w:r>
      <w:r>
        <w:t>e</w:t>
      </w:r>
      <w:r>
        <w:t>rivé, és másokkal együtt értelmezett volta teszi társadalmivá. A kultúra mindenekelőtt az e</w:t>
      </w:r>
      <w:r>
        <w:t>m</w:t>
      </w:r>
      <w:r>
        <w:t>beri cselekedetek, kapcsolatok és intézmények jelentésekkel teli oldala – és még a legmateri</w:t>
      </w:r>
      <w:r>
        <w:t>á</w:t>
      </w:r>
      <w:r>
        <w:t>lisabbaknak is van ilyen oldala. Az emberi személyiség a világ alakításában és elsajátításában bontakozik ki és nyilvánul meg, ennek alapja pedig az ember világhoz való szellemi és gy</w:t>
      </w:r>
      <w:r>
        <w:t>a</w:t>
      </w:r>
      <w:r>
        <w:t>korlati viszonyulása: az élethelyzetek és cselekvési alternatívák sokféle észlelése és kezelése. Az emberi tudás kontextusa az ember egész életvitele, életstílusa, az a miliő, amelyben az él</w:t>
      </w:r>
      <w:r>
        <w:t>e</w:t>
      </w:r>
      <w:r>
        <w:t>tét éli és a világát tapasztalja. A szűkebb szaktudás nem függetleníthető a világszemlélet más területeitől, de a legmateriálisabb életkörülményektől sem; a gazdasági viselkedés pedig nem csupán érdekeknek, hanem kulturálisan születő és mentalitássá rögzülő értékrendeknek, es</w:t>
      </w:r>
      <w:r>
        <w:t>z</w:t>
      </w:r>
      <w:r>
        <w:t>mevilágoknak, hittartalmaknak is függvénye. Alkalmazottnak, munkaadónak, polgárnak vagy éppen értelmiséginek lenni egész életformát jelent, annak minden anyagi és szellemi tényez</w:t>
      </w:r>
      <w:r>
        <w:t>ő</w:t>
      </w:r>
      <w:r>
        <w:t xml:space="preserve">jével. Ebből a megközelítésből adódik </w:t>
      </w:r>
      <w:proofErr w:type="spellStart"/>
      <w:r>
        <w:t>specializációnk</w:t>
      </w:r>
      <w:proofErr w:type="spellEnd"/>
      <w:r>
        <w:t xml:space="preserve"> programjának első pillére: </w:t>
      </w:r>
      <w:r>
        <w:rPr>
          <w:i/>
          <w:iCs/>
        </w:rPr>
        <w:t>az emberi életformák, életstílusok, életmódok, mentalitások, életfázisok összehasonlító tárgyalása</w:t>
      </w:r>
      <w:r>
        <w:t xml:space="preserve">. </w:t>
      </w:r>
    </w:p>
    <w:p w14:paraId="20A1992E" w14:textId="77777777" w:rsidR="0037612A" w:rsidRDefault="0037612A" w:rsidP="0037612A">
      <w:pPr>
        <w:spacing w:after="120" w:line="340" w:lineRule="exact"/>
        <w:jc w:val="both"/>
      </w:pPr>
      <w:r>
        <w:t xml:space="preserve">A specializáció másik, az előbbivel belsőleg összetartozó pillére </w:t>
      </w:r>
      <w:r w:rsidRPr="003D3067">
        <w:rPr>
          <w:i/>
        </w:rPr>
        <w:t xml:space="preserve">a „deviáns”, azaz </w:t>
      </w:r>
      <w:r>
        <w:rPr>
          <w:i/>
        </w:rPr>
        <w:t xml:space="preserve">általában </w:t>
      </w:r>
      <w:r w:rsidRPr="003D3067">
        <w:rPr>
          <w:i/>
        </w:rPr>
        <w:t>a</w:t>
      </w:r>
      <w:r>
        <w:rPr>
          <w:i/>
        </w:rPr>
        <w:t xml:space="preserve"> társadalmilag </w:t>
      </w:r>
      <w:r w:rsidRPr="003D3067">
        <w:rPr>
          <w:i/>
        </w:rPr>
        <w:t>elfogadott</w:t>
      </w:r>
      <w:r>
        <w:rPr>
          <w:i/>
        </w:rPr>
        <w:t>ól eltérő viselkedés- és életfo</w:t>
      </w:r>
      <w:r w:rsidRPr="003D3067">
        <w:rPr>
          <w:i/>
        </w:rPr>
        <w:t>r</w:t>
      </w:r>
      <w:r>
        <w:rPr>
          <w:i/>
        </w:rPr>
        <w:t>m</w:t>
      </w:r>
      <w:r w:rsidRPr="003D3067">
        <w:rPr>
          <w:i/>
        </w:rPr>
        <w:t>ák megismerése</w:t>
      </w:r>
      <w:r>
        <w:t>. Ezek jelentőségét az adja, hogy nemcsak az „elkövető” egyénnek okoznak életproblémát, hanem az illető kö</w:t>
      </w:r>
      <w:r>
        <w:t>z</w:t>
      </w:r>
      <w:r>
        <w:t xml:space="preserve">vetlen közösségeinek, illetve az egész társadalomnak. A társadalomból „kieső”, </w:t>
      </w:r>
      <w:proofErr w:type="spellStart"/>
      <w:r>
        <w:t>elszigetelődő</w:t>
      </w:r>
      <w:proofErr w:type="spellEnd"/>
      <w:r>
        <w:t>, kriminalizálódó (alkoholista, kábítószeres, bűnöző stb.) személyek által okozott gazdasági, é</w:t>
      </w:r>
      <w:r>
        <w:t>r</w:t>
      </w:r>
      <w:r>
        <w:t xml:space="preserve">zelmi és erkölcsi károkozás </w:t>
      </w:r>
      <w:proofErr w:type="spellStart"/>
      <w:r>
        <w:t>hordereje</w:t>
      </w:r>
      <w:proofErr w:type="spellEnd"/>
      <w:r>
        <w:t>, illetve a bűnözés és egyéb deviációk rendszerváltozás utáni elterjedése miatt a deviáns viselkedések kérdése kiemelt közüggyé vált. Ennek nyomán határozott társadalmi igények fogalmazódnak meg eredményes állami politikák iránt: speci</w:t>
      </w:r>
      <w:r>
        <w:t>á</w:t>
      </w:r>
      <w:r>
        <w:t xml:space="preserve">lis felkészültséggel rendelkező szakemberekre van szükség. A társadalmi devianciák kapcsán napjainkra felértékelődött a prevenció eszméje, társadalmi haszna, gazdasági előnye – ehhez azonban elsősorban megfelelő szakismeretek szükségesek. Fontos, hogy az egészségügyben, az </w:t>
      </w:r>
      <w:r>
        <w:lastRenderedPageBreak/>
        <w:t xml:space="preserve">oktatásban, a szociális szférában, a civil, önkormányzati és állami szervezetekben dolgozók rendelkezzenek ilyen ismeretekkel. </w:t>
      </w:r>
    </w:p>
    <w:p w14:paraId="727E2D69" w14:textId="77777777" w:rsidR="0037612A" w:rsidRDefault="0037612A" w:rsidP="0037612A">
      <w:pPr>
        <w:spacing w:line="320" w:lineRule="exact"/>
        <w:jc w:val="both"/>
      </w:pPr>
    </w:p>
    <w:p w14:paraId="6DA0FBB8" w14:textId="77777777" w:rsidR="0037612A" w:rsidRPr="00ED7F07" w:rsidRDefault="0037612A" w:rsidP="0037612A">
      <w:pPr>
        <w:spacing w:line="320" w:lineRule="exact"/>
        <w:rPr>
          <w:b/>
        </w:rPr>
      </w:pPr>
      <w:r w:rsidRPr="00ED7F07">
        <w:rPr>
          <w:b/>
        </w:rPr>
        <w:t>A specializációhoz tartozó tantárgyak</w:t>
      </w:r>
    </w:p>
    <w:p w14:paraId="53E5B54F" w14:textId="77777777" w:rsidR="0037612A" w:rsidRPr="002D67DC" w:rsidRDefault="0037612A" w:rsidP="0037612A">
      <w:pPr>
        <w:spacing w:line="340" w:lineRule="exact"/>
        <w:ind w:left="708"/>
      </w:pPr>
      <w:r w:rsidRPr="002D67DC">
        <w:t xml:space="preserve">Kultúra és társadalom </w:t>
      </w:r>
    </w:p>
    <w:p w14:paraId="2E696E18" w14:textId="77777777" w:rsidR="0037612A" w:rsidRPr="002D67DC" w:rsidRDefault="0037612A" w:rsidP="0037612A">
      <w:pPr>
        <w:spacing w:line="340" w:lineRule="exact"/>
        <w:ind w:left="708"/>
      </w:pPr>
      <w:r w:rsidRPr="002D67DC">
        <w:t xml:space="preserve">Mentalitástörténet </w:t>
      </w:r>
    </w:p>
    <w:p w14:paraId="1DB152C2" w14:textId="77777777" w:rsidR="0037612A" w:rsidRPr="002D67DC" w:rsidRDefault="0037612A" w:rsidP="0037612A">
      <w:pPr>
        <w:spacing w:line="340" w:lineRule="exact"/>
        <w:ind w:left="708"/>
      </w:pPr>
      <w:r w:rsidRPr="002D67DC">
        <w:t xml:space="preserve">Vallási közösségek </w:t>
      </w:r>
    </w:p>
    <w:p w14:paraId="36C08D41" w14:textId="77777777" w:rsidR="0037612A" w:rsidRPr="002D67DC" w:rsidRDefault="0037612A" w:rsidP="0037612A">
      <w:pPr>
        <w:spacing w:line="340" w:lineRule="exact"/>
        <w:ind w:left="708"/>
      </w:pPr>
      <w:r w:rsidRPr="002D67DC">
        <w:t>Médiaszociológia</w:t>
      </w:r>
    </w:p>
    <w:p w14:paraId="13F7D9F9" w14:textId="77777777" w:rsidR="0037612A" w:rsidRPr="002D67DC" w:rsidRDefault="0037612A" w:rsidP="0037612A">
      <w:pPr>
        <w:spacing w:line="340" w:lineRule="exact"/>
        <w:ind w:left="708"/>
      </w:pPr>
      <w:r w:rsidRPr="002D67DC">
        <w:t>Életmódok és előítéletek</w:t>
      </w:r>
    </w:p>
    <w:p w14:paraId="2671D364" w14:textId="77777777" w:rsidR="0037612A" w:rsidRPr="002D67DC" w:rsidRDefault="0037612A" w:rsidP="0037612A">
      <w:pPr>
        <w:spacing w:line="340" w:lineRule="exact"/>
        <w:ind w:left="708"/>
      </w:pPr>
      <w:proofErr w:type="spellStart"/>
      <w:r w:rsidRPr="002D67DC">
        <w:t>Kriminálszociológia</w:t>
      </w:r>
      <w:proofErr w:type="spellEnd"/>
      <w:r w:rsidRPr="002D67DC">
        <w:t xml:space="preserve"> </w:t>
      </w:r>
    </w:p>
    <w:p w14:paraId="77C76410" w14:textId="77777777" w:rsidR="0037612A" w:rsidRPr="002D67DC" w:rsidRDefault="0037612A" w:rsidP="0037612A">
      <w:pPr>
        <w:spacing w:line="340" w:lineRule="exact"/>
        <w:ind w:left="708"/>
      </w:pPr>
      <w:r w:rsidRPr="002D67DC">
        <w:t>Társadalmi devianciák és beilleszkedési zavarok</w:t>
      </w:r>
    </w:p>
    <w:p w14:paraId="3756B79E" w14:textId="77777777" w:rsidR="0037612A" w:rsidRPr="002D67DC" w:rsidRDefault="0037612A" w:rsidP="0037612A">
      <w:pPr>
        <w:spacing w:line="340" w:lineRule="exact"/>
        <w:ind w:left="708"/>
      </w:pPr>
      <w:r w:rsidRPr="002D67DC">
        <w:t xml:space="preserve">Társadalmi peremhelyzetek </w:t>
      </w:r>
    </w:p>
    <w:p w14:paraId="14CF0157" w14:textId="77777777" w:rsidR="0037612A" w:rsidRDefault="0037612A" w:rsidP="0037612A">
      <w:pPr>
        <w:spacing w:line="340" w:lineRule="exact"/>
        <w:ind w:left="708"/>
      </w:pPr>
      <w:r w:rsidRPr="002D67DC">
        <w:t>Kultúra- és életmódkutatások</w:t>
      </w:r>
    </w:p>
    <w:p w14:paraId="64733162" w14:textId="77777777" w:rsidR="0037612A" w:rsidRDefault="0037612A" w:rsidP="0037612A">
      <w:pPr>
        <w:spacing w:line="340" w:lineRule="exact"/>
        <w:ind w:left="708"/>
      </w:pPr>
      <w:proofErr w:type="spellStart"/>
      <w:r>
        <w:t>Rehumanizáció</w:t>
      </w:r>
      <w:proofErr w:type="spellEnd"/>
      <w:r>
        <w:t xml:space="preserve"> az emberi kapcsolatokban </w:t>
      </w:r>
    </w:p>
    <w:p w14:paraId="323A6115" w14:textId="77777777" w:rsidR="0037612A" w:rsidRDefault="0037612A" w:rsidP="0037612A">
      <w:pPr>
        <w:spacing w:line="340" w:lineRule="exact"/>
        <w:rPr>
          <w:i/>
        </w:rPr>
      </w:pPr>
    </w:p>
    <w:p w14:paraId="04AB2C5D" w14:textId="77777777" w:rsidR="0037612A" w:rsidRDefault="0037612A" w:rsidP="0037612A">
      <w:pPr>
        <w:spacing w:line="320" w:lineRule="exact"/>
      </w:pPr>
    </w:p>
    <w:p w14:paraId="35D19512" w14:textId="77777777" w:rsidR="0037612A" w:rsidRDefault="0037612A" w:rsidP="0037612A">
      <w:pPr>
        <w:pStyle w:val="Cmsor2"/>
        <w:spacing w:after="120"/>
        <w:rPr>
          <w:bCs w:val="0"/>
        </w:rPr>
      </w:pPr>
      <w:r>
        <w:rPr>
          <w:bCs w:val="0"/>
        </w:rPr>
        <w:t>Kompetenciák, hasznosulás</w:t>
      </w:r>
    </w:p>
    <w:p w14:paraId="4450B09A" w14:textId="77777777" w:rsidR="0037612A" w:rsidRDefault="0037612A" w:rsidP="0037612A">
      <w:pPr>
        <w:spacing w:line="340" w:lineRule="exact"/>
        <w:jc w:val="both"/>
      </w:pPr>
      <w:r>
        <w:t>A képzés célkitűzése, hogy a specializáció keretében megszerzett tudás közigazgatási, szociál-, humán- és kultúrapolitikai intézményekben közvetlenül alkalmazható legyen. A sp</w:t>
      </w:r>
      <w:r>
        <w:t>e</w:t>
      </w:r>
      <w:r>
        <w:t>cializáció elvégzésével a hallgatók olyan területeken rendelkeznek kompetenciákkal, ahol speciális betekintésre van szükség az emberi életmódok és deviációk világába, hogy kreatívan viszonyulhass</w:t>
      </w:r>
      <w:bookmarkStart w:id="0" w:name="_GoBack"/>
      <w:bookmarkEnd w:id="0"/>
      <w:r>
        <w:t>anak az életformák különbségéből, az életutak (biográfia) az életkorok (ifjúság, öregség) és élethelyzetek eltéréseiből eredő konfliktusok kezeléséhez is. A specializációt e</w:t>
      </w:r>
      <w:r>
        <w:t>l</w:t>
      </w:r>
      <w:r>
        <w:t>végző hallgatók képesek lesznek önállóan vagy csoportban végzendő döntéshozói, irányítási, tervezési, szervezési, szakértői, tanácsadói, kutatási és oktatási feladatok felelősségteljes e</w:t>
      </w:r>
      <w:r>
        <w:t>l</w:t>
      </w:r>
      <w:r>
        <w:t>végzésére.</w:t>
      </w:r>
    </w:p>
    <w:p w14:paraId="6693CE59" w14:textId="77777777" w:rsidR="0037612A" w:rsidRDefault="0037612A" w:rsidP="0037612A">
      <w:pPr>
        <w:spacing w:line="340" w:lineRule="exact"/>
        <w:jc w:val="both"/>
      </w:pPr>
    </w:p>
    <w:p w14:paraId="4F601455" w14:textId="77777777" w:rsidR="0037612A" w:rsidRDefault="0037612A" w:rsidP="0037612A">
      <w:pPr>
        <w:spacing w:line="340" w:lineRule="exact"/>
        <w:jc w:val="both"/>
      </w:pPr>
      <w:r>
        <w:t xml:space="preserve">A fentiekből adódnak bizonyos elsődleges tevékenységi területek, </w:t>
      </w:r>
      <w:proofErr w:type="spellStart"/>
      <w:r>
        <w:t>példaszerűen</w:t>
      </w:r>
      <w:proofErr w:type="spellEnd"/>
      <w:r>
        <w:t>:</w:t>
      </w:r>
    </w:p>
    <w:p w14:paraId="33F8DF37" w14:textId="77777777" w:rsidR="0037612A" w:rsidRDefault="0037612A" w:rsidP="0037612A">
      <w:pPr>
        <w:numPr>
          <w:ilvl w:val="0"/>
          <w:numId w:val="1"/>
        </w:numPr>
        <w:spacing w:line="340" w:lineRule="exact"/>
        <w:jc w:val="both"/>
      </w:pPr>
      <w:r>
        <w:t>magas szintű kommunikációs képességet, strukturált gondolkodást igénylő szerv</w:t>
      </w:r>
      <w:r>
        <w:t>e</w:t>
      </w:r>
      <w:r>
        <w:t>zetek</w:t>
      </w:r>
    </w:p>
    <w:p w14:paraId="6D980EC1" w14:textId="77777777" w:rsidR="0037612A" w:rsidRDefault="0037612A" w:rsidP="0037612A">
      <w:pPr>
        <w:numPr>
          <w:ilvl w:val="0"/>
          <w:numId w:val="1"/>
        </w:numPr>
        <w:spacing w:line="340" w:lineRule="exact"/>
        <w:jc w:val="both"/>
      </w:pPr>
      <w:r>
        <w:t>igazgatási és civil intézmények irányítói, elemzői munkakörei, mindenekelőtt az e</w:t>
      </w:r>
      <w:r>
        <w:t>m</w:t>
      </w:r>
      <w:r>
        <w:t>beri erőforrásgazdálkodás területein</w:t>
      </w:r>
    </w:p>
    <w:p w14:paraId="7D7AF0C7" w14:textId="77777777" w:rsidR="0037612A" w:rsidRDefault="0037612A" w:rsidP="0037612A">
      <w:pPr>
        <w:numPr>
          <w:ilvl w:val="0"/>
          <w:numId w:val="1"/>
        </w:numPr>
        <w:spacing w:line="340" w:lineRule="exact"/>
        <w:jc w:val="both"/>
      </w:pPr>
      <w:r>
        <w:t>a szociális és jótékonysági szféra</w:t>
      </w:r>
    </w:p>
    <w:p w14:paraId="70740D6F" w14:textId="77777777" w:rsidR="0037612A" w:rsidRDefault="0037612A" w:rsidP="0037612A">
      <w:pPr>
        <w:numPr>
          <w:ilvl w:val="0"/>
          <w:numId w:val="1"/>
        </w:numPr>
        <w:spacing w:line="340" w:lineRule="exact"/>
        <w:jc w:val="both"/>
      </w:pPr>
      <w:r>
        <w:t>mindazok a területek, ahol az életminőségnek egyre elismertebb szerepe van</w:t>
      </w:r>
    </w:p>
    <w:p w14:paraId="2F344101" w14:textId="77777777" w:rsidR="0037612A" w:rsidRDefault="0037612A" w:rsidP="0037612A">
      <w:pPr>
        <w:numPr>
          <w:ilvl w:val="0"/>
          <w:numId w:val="1"/>
        </w:numPr>
        <w:spacing w:line="340" w:lineRule="exact"/>
        <w:jc w:val="both"/>
      </w:pPr>
      <w:r>
        <w:t>szakértői anyagok készítése, hatástanulmányok végzése</w:t>
      </w:r>
    </w:p>
    <w:p w14:paraId="02AE8993" w14:textId="77777777" w:rsidR="00CD4D1B" w:rsidRDefault="00CD4D1B" w:rsidP="00CD4D1B">
      <w:pPr>
        <w:spacing w:line="320" w:lineRule="exact"/>
        <w:jc w:val="both"/>
      </w:pPr>
    </w:p>
    <w:p w14:paraId="7CE08771" w14:textId="77777777" w:rsidR="00CD4D1B" w:rsidRDefault="00CD4D1B" w:rsidP="00CD4D1B">
      <w:pPr>
        <w:pStyle w:val="Cm"/>
        <w:spacing w:line="320" w:lineRule="exact"/>
        <w:rPr>
          <w:b/>
          <w:bCs/>
          <w:caps/>
        </w:rPr>
      </w:pPr>
    </w:p>
    <w:p w14:paraId="4CB8FF5A" w14:textId="77777777" w:rsidR="0062252D" w:rsidRDefault="0062252D"/>
    <w:sectPr w:rsidR="0062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B08"/>
    <w:multiLevelType w:val="hybridMultilevel"/>
    <w:tmpl w:val="F7F2BE4A"/>
    <w:lvl w:ilvl="0" w:tplc="A4D2B7C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B"/>
    <w:rsid w:val="0037612A"/>
    <w:rsid w:val="0062252D"/>
    <w:rsid w:val="00B83465"/>
    <w:rsid w:val="00C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CA9C"/>
  <w15:docId w15:val="{572FCEC6-16C7-4E61-8A6B-7D4DD9C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4D1B"/>
    <w:pPr>
      <w:keepNext/>
      <w:jc w:val="center"/>
      <w:outlineLvl w:val="0"/>
    </w:pPr>
    <w:rPr>
      <w:b/>
      <w:bCs/>
      <w:smallCaps/>
    </w:rPr>
  </w:style>
  <w:style w:type="paragraph" w:styleId="Cmsor2">
    <w:name w:val="heading 2"/>
    <w:basedOn w:val="Norml"/>
    <w:next w:val="Norml"/>
    <w:link w:val="Cmsor2Char"/>
    <w:qFormat/>
    <w:rsid w:val="00CD4D1B"/>
    <w:pPr>
      <w:keepNext/>
      <w:spacing w:line="320" w:lineRule="exact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4D1B"/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D4D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D4D1B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D4D1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D4D1B"/>
    <w:pPr>
      <w:ind w:left="3540"/>
      <w:jc w:val="right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D4D1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CD4D1B"/>
    <w:pPr>
      <w:spacing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CD4D1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6019C307E26041B614C0368E549AC2" ma:contentTypeVersion="13" ma:contentTypeDescription="Új dokumentum létrehozása." ma:contentTypeScope="" ma:versionID="4778f83b15940808b46303d45b404036">
  <xsd:schema xmlns:xsd="http://www.w3.org/2001/XMLSchema" xmlns:xs="http://www.w3.org/2001/XMLSchema" xmlns:p="http://schemas.microsoft.com/office/2006/metadata/properties" xmlns:ns3="081507d9-3c7b-4ff9-a5d4-3567f988f5c2" xmlns:ns4="b297889d-3032-4900-be23-c6e97f30e994" targetNamespace="http://schemas.microsoft.com/office/2006/metadata/properties" ma:root="true" ma:fieldsID="63b43d3af6392fbe6913693954825065" ns3:_="" ns4:_="">
    <xsd:import namespace="081507d9-3c7b-4ff9-a5d4-3567f988f5c2"/>
    <xsd:import namespace="b297889d-3032-4900-be23-c6e97f30e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07d9-3c7b-4ff9-a5d4-3567f988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889d-3032-4900-be23-c6e97f30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AE5F5-90E3-4B7F-AF4C-1B74DE85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507d9-3c7b-4ff9-a5d4-3567f988f5c2"/>
    <ds:schemaRef ds:uri="b297889d-3032-4900-be23-c6e97f30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1D469-25B4-42F2-9EBC-F7FCA309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8ABB-0CAA-483F-9980-DDEB75D88831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81507d9-3c7b-4ff9-a5d4-3567f988f5c2"/>
    <ds:schemaRef ds:uri="b297889d-3032-4900-be23-c6e97f30e99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Jakó Judit</cp:lastModifiedBy>
  <cp:revision>2</cp:revision>
  <dcterms:created xsi:type="dcterms:W3CDTF">2020-07-14T13:21:00Z</dcterms:created>
  <dcterms:modified xsi:type="dcterms:W3CDTF">2020-07-14T13:21:00Z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0x0101001B6019C307E26041B614C0368E549AC2</vt:lpwstr>
  </property>
</Properties>
</file>