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116" w:rsidRDefault="00E579F5">
      <w:pPr>
        <w:spacing w:line="360" w:lineRule="auto"/>
        <w:ind w:left="144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Pázmány Péter Katolikus Egyetem </w:t>
      </w:r>
    </w:p>
    <w:p w:rsidR="008E5116" w:rsidRDefault="00E579F5">
      <w:pPr>
        <w:spacing w:line="360" w:lineRule="auto"/>
        <w:ind w:left="144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Bölcsészettudományi Kar</w:t>
      </w:r>
    </w:p>
    <w:p w:rsidR="008E5116" w:rsidRDefault="008E5116">
      <w:pPr>
        <w:spacing w:line="360" w:lineRule="auto"/>
        <w:jc w:val="both"/>
      </w:pPr>
    </w:p>
    <w:p w:rsidR="008E5116" w:rsidRDefault="008E5116">
      <w:pPr>
        <w:spacing w:line="360" w:lineRule="auto"/>
        <w:jc w:val="both"/>
      </w:pP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Doktori (PhD) értekezés tézisei</w:t>
      </w:r>
    </w:p>
    <w:p w:rsidR="008E5116" w:rsidRDefault="008E5116">
      <w:pPr>
        <w:spacing w:line="360" w:lineRule="auto"/>
        <w:jc w:val="center"/>
      </w:pPr>
    </w:p>
    <w:p w:rsidR="008E5116" w:rsidRDefault="00E579F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László Anikó</w:t>
      </w:r>
    </w:p>
    <w:p w:rsidR="008E5116" w:rsidRDefault="008E5116">
      <w:pPr>
        <w:spacing w:line="360" w:lineRule="auto"/>
        <w:jc w:val="center"/>
      </w:pPr>
    </w:p>
    <w:p w:rsidR="008E5116" w:rsidRDefault="00E579F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Apokaliptikus államelmélet és világszemlélet a XVII. században</w:t>
      </w:r>
    </w:p>
    <w:p w:rsidR="008E5116" w:rsidRDefault="008E5116">
      <w:pPr>
        <w:spacing w:line="360" w:lineRule="auto"/>
        <w:jc w:val="both"/>
      </w:pPr>
    </w:p>
    <w:p w:rsidR="008E5116" w:rsidRDefault="008E5116">
      <w:pPr>
        <w:spacing w:line="360" w:lineRule="auto"/>
        <w:jc w:val="both"/>
      </w:pPr>
    </w:p>
    <w:p w:rsidR="008E5116" w:rsidRDefault="008E5116">
      <w:pPr>
        <w:spacing w:line="360" w:lineRule="auto"/>
        <w:jc w:val="both"/>
      </w:pP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Témavezető: Dr. Őze Sándor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Történelemtudományi Doktori Iskola, vezető: Dr. Fröhlich Ida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Eszmetörténeti műhely, vezető: Dr. Fröhlich Ida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Kutatóhelyek: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Bibliothek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Theologischen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Seminars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Herborn</w:t>
      </w:r>
      <w:proofErr w:type="spellEnd"/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Staats-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Stadtbibliothek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Augsburg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Bayerische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Staatsbibliothek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München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Herzog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August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Bibliothek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Wolfenbüttel</w:t>
      </w:r>
      <w:proofErr w:type="spellEnd"/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British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London</w:t>
      </w:r>
    </w:p>
    <w:p w:rsidR="008E5116" w:rsidRDefault="008E5116">
      <w:pPr>
        <w:spacing w:line="360" w:lineRule="auto"/>
        <w:jc w:val="both"/>
      </w:pPr>
    </w:p>
    <w:p w:rsidR="00E579F5" w:rsidRDefault="00E579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E5116" w:rsidRDefault="00E579F5">
      <w:pPr>
        <w:spacing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2016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disszertáció témája és célkitűzései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ind w:firstLine="9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17. század az újkor prófétáinak ideje. Egymás után tűntek fel a hírnökök, akik hosszabb-rövidebb műveikben arról próbálták meggyőzni olvasóikat, hogy személyes kapcsolatban állnak Istennel, így tökéletesen tudják értelmezni a természet jeleit, a csillago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járását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próféciáikból pedig részletesen megismerhetőek a jövő eseményei. A reneszánsz magával hozta a különböző hagyományok keveredését. Az újonnan kialakult nézetben hangsúlyos szerepet játszott a ciklikus történelemszemlélet, melyet Illés próféta hate</w:t>
      </w:r>
      <w:r>
        <w:rPr>
          <w:rFonts w:ascii="Times New Roman" w:eastAsia="Times New Roman" w:hAnsi="Times New Roman" w:cs="Times New Roman"/>
          <w:sz w:val="24"/>
          <w:szCs w:val="24"/>
        </w:rPr>
        <w:t>zer éves világszemléletével és Szent Ágoston hétezer éves világhét-elméletével ötvöztek.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század eseményeinek tükrében a földön megvalósuló krisztusi királyság jelenthette a “fényt az alagút végén”.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millenarizmus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eredetét az ószövetségi könyvekben talál</w:t>
      </w:r>
      <w:r>
        <w:rPr>
          <w:rFonts w:ascii="Times New Roman" w:eastAsia="Times New Roman" w:hAnsi="Times New Roman" w:cs="Times New Roman"/>
          <w:sz w:val="24"/>
          <w:szCs w:val="24"/>
        </w:rPr>
        <w:t>juk, mikor Jahve azt ígéri híveinek, hogy hitükkel és kitartásukkal még a földi életben elnyerhetik méltó jutalmukat. A kereszténység megjelenése után is tovább élt ez az ótestamentumi ígéret, s hamar összekapcsolódott a reménnyel, hogy az utolsó időkben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risztus visszatér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födre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eljövetelekor pedig feltámadnak a halottak és együtt uralkodnak vele. A krisztusi királyság – néhányak szerint– pontosan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ezerévig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 tartani, majd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Góg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Magóg seregei ellen folytatott utolsó nagy harc következik, végül az Uto</w:t>
      </w:r>
      <w:r>
        <w:rPr>
          <w:rFonts w:ascii="Times New Roman" w:eastAsia="Times New Roman" w:hAnsi="Times New Roman" w:cs="Times New Roman"/>
          <w:sz w:val="24"/>
          <w:szCs w:val="24"/>
        </w:rPr>
        <w:t>lsó Ítélet zárja földi létünk történetét.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Johann Heinrich Alsted 1629-ben érkezett Gyulafehérvárra, s vele együtt jött két tanítótársa, Johann Heinrich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Bisterfeld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Ludwig Philipp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tudósok Bethlen Gábor hívására érkeztek a fejedelem</w:t>
      </w:r>
      <w:r>
        <w:rPr>
          <w:rFonts w:ascii="Times New Roman" w:eastAsia="Times New Roman" w:hAnsi="Times New Roman" w:cs="Times New Roman"/>
          <w:sz w:val="24"/>
          <w:szCs w:val="24"/>
        </w:rPr>
        <w:t>ségbe, hogy az újonnan alapított akadémián tanítsanak, s annak európai hírnevét növeljék. Megjelenésükkel fejlődésnek indult az erdélyi szellemi élet, megélénkült a Nyugatra irányuló peregrináció, felvirágzott a fejedelmi nyomda, s rendszeres vallási viták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rendeztek a protestáns vallások különböző felekezetei között. 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 erdélyi útja előtt nem sokkal, 1627-ben jelent meg leghíresebb millenarista műve,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apocalypticis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Saját, református körén belül elfogadhatatlan volt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középpontjába állított millenarista tétel - hiszen Kálvin követői tételesen is tiltották az ezeréves krisztusi királyság földi megvalósulását – ám az evangélikusok annál szívesebben hivatkoztak rá.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Dolgozatom megírásakor elsősorban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Diatribe-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támaszko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dtam, s ennek nyomán azt vizsgáltam, hogy a 17. században miként befolyásolta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millenarizmus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apokaliptikus államelméletet és világszemléletet. Munkámban felvázolom a korszak történelemszemléletét, s az alábbi kérdésekre keresem a választ: Hogyan látta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újkor embere saját történelmi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idejét? Hogyan változott a korabeli történelemszemlélet és ez hogyan változtatta a jövőről kialakított elképzeléseket? Milyen hatást gyakorolt Alsted, majd Comenius Magyarországon és Erdélyben? Mely események befolyásolhatt</w:t>
      </w:r>
      <w:r>
        <w:rPr>
          <w:rFonts w:ascii="Times New Roman" w:eastAsia="Times New Roman" w:hAnsi="Times New Roman" w:cs="Times New Roman"/>
          <w:sz w:val="24"/>
          <w:szCs w:val="24"/>
        </w:rPr>
        <w:t>ák a korabeli gondolkodókat, hogy a különböző természeti jelenségek mögött kivétel nélkül Isten üzenetét fürkésszék?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Kutatásom bázisát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 apokaliptikus könyvei adták, amelyek a Biblia textusaira támaszkodva, azokat a különféle természeti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elenségekkel összekapcsolva az újkor soron következő eseményeit próbálják megjósolni. 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Előzetes feltételezésem szerint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 anyaga tovább árnyalhatja a képet, amelyet Howard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alakított 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Alstedről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szóló híres monográfiájában, a 2000-b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megjelent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Paradise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postponed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Johann Heinrich Alsted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Birth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Calvinist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Millenarianism-</w:t>
      </w:r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 Herbornban megtalálható forrásanyag segítségével – amely nagyrészt a 17. századi főiskola eredeti, egyben megmaradt könyvállománya – jobban megismerhet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jük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megírásakor népszerű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prófétikus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műveket, amelyek a világ történelmének utolsó fejezeteivel foglalkoztak. A könyvtár állományában nagy számmal találhatóak különböző próféciák, asztrológiai jóslatok, amelyek szorosan összekapcsolva a Biblia te</w:t>
      </w:r>
      <w:r>
        <w:rPr>
          <w:rFonts w:ascii="Times New Roman" w:eastAsia="Times New Roman" w:hAnsi="Times New Roman" w:cs="Times New Roman"/>
          <w:sz w:val="24"/>
          <w:szCs w:val="24"/>
        </w:rPr>
        <w:t>xtusaival, – elsősorban Dániel próféta könyvével, az 1290 és 1335 napról szóló jóslattal, valamint János apostol apokalipszisével – az emberiség utolsó évezredét próbálják meg minél pontosabban leírni.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Dolgozatomban elsősorban azokra a szövegekre koncentrá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ltam, melyek nem sokkal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megjelenése előtt láttak napvilágot, és így esetleg hatással lehettek Alsted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millenarisztikus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szemléletére. Emellett megpróbáltam azokat kiemelni, amelyek valamilyen formában utaltak az európai és ezen belül is a magyaror</w:t>
      </w:r>
      <w:r>
        <w:rPr>
          <w:rFonts w:ascii="Times New Roman" w:eastAsia="Times New Roman" w:hAnsi="Times New Roman" w:cs="Times New Roman"/>
          <w:sz w:val="24"/>
          <w:szCs w:val="24"/>
        </w:rPr>
        <w:t>szági és erdélyi helyzetre. Rendszerint olyan forrásokat ismertetek, amelyek a magyarországi kutatók számára talán kevéssé ismertek, ezért állításaimat minden esetben hosszabb forrásrészletekkel támasztom alá, melyeket betűhív átírással közlök. Értekezésem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 az alábbi,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könyvtárban megtalált próféciákkal foglalkozom részletesebben:</w:t>
      </w: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Der von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bestimpten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Zahlen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Antichrists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1260.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endlicher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Außgang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Apocal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11. 12. 13.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Sampt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widerholung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welcher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Gestalt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gemeldte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bestimpte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Zahlen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diese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verschienene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Jahr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regirenden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Käysers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Rudolph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Zeiten,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gewisseste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offternmal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zugetroffen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1608.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NAGEL,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newen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Cometen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Wundersterns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October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November und December 1618.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erschienen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wahrhafftige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Deutung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Außlegung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Magiam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insignem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dergleichen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zuvor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gesehen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Allen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Menschen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auff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Erden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Nachrichtung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Warnung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fürgestellet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1619.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Nicolaus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HARTPRECHT,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Tuba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temporis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ider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Wahrhafftige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Unseilbare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Zeitrechnung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Der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gleichen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die Welt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gesehen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hat, </w:t>
      </w:r>
      <w:r>
        <w:rPr>
          <w:rFonts w:ascii="Times New Roman" w:eastAsia="Times New Roman" w:hAnsi="Times New Roman" w:cs="Times New Roman"/>
          <w:sz w:val="24"/>
          <w:szCs w:val="24"/>
        </w:rPr>
        <w:t>1620.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Ioannis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LIPTITZ, Nobilis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Silesii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Mysteria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Apocalyptica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Kurze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gewisse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Demonstrations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Anno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Christi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1623. die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großmächtige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Enderung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mit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hernach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folgendem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Antichrists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fewrigem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Untergang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eynbrechen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werde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1621.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Propheseyen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Weissagungen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jetzt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gegenwertig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künfftige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schicht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Zufäll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der Welt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ankündend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nemblich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M. Johann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Liechtenbergers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Johann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Carionis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M. Josephi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Grumpeck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Der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Sibyllen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anderer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Den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Ermahnung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Trost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färnämblich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bösen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Schrecken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Warnung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Partheyligkeit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zusamen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getragen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Exemplaren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getrewlich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nachgetrucket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1620.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EGARD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Posaune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Göttlichen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Gnade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Liechtes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1623.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Gottlieb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HEYLAND,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Cronologicum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Sämdtliche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Anleitung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recht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eygentlichen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Hauptverstande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der H.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Offenbahrung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Johannis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anderer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Weissagungen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Göttlicher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Schrifft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neben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deutlicher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Außführung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was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Kirchen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währenden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Monarchien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Daniels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bißhero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von Zeiten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Zeiten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erfüllet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zugewarten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1623.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E579F5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Wunderbarliche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Prophezeyhung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Weissagung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Siebenbürgischen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Prophetem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betreffende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1630.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Jahr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zugetragen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werde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Hermanstadt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1630.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kiválasztott művek talán kivétel nélkül a század ismert próféciái lehettek Európában. Feltételezésem szerint ezek a források közelebb vihetnek minket Alsted millenarista nézeteinek kialakulásának megértéséhez. Az 1623-as év – amelyből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könytárb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legtöbb korabeli forrást találtam – talán épp az a sorsfordító év, amely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Alstedet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kiliazmus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mellé állította.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világított 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Alstedről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szóló híres monográfiájában,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professzor 1622 és 1626 között született értekezéseiben még szor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osan egymás mellett élt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millenarizmus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hite, s annak elutasítása is. Alsted ingadozott, majd döntéséhez az utolsó lökést kétség kívül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apokalipsziskommentárja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adhatta, de minden bizonnyal meghatározó szerepe volt az “újkori prófétáknak” is, akikne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jóslatai a mai napig megmaradtak a régi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főiskola falai között.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próféciák mellett végezetül a magyar irodalomból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Mihály alakját emeltem ki, aki zsoltármagyarázatai alapján ahhoz a millenarista körhöz kapcsolható, amelynek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alapí</w:t>
      </w:r>
      <w:r>
        <w:rPr>
          <w:rFonts w:ascii="Times New Roman" w:eastAsia="Times New Roman" w:hAnsi="Times New Roman" w:cs="Times New Roman"/>
          <w:sz w:val="24"/>
          <w:szCs w:val="24"/>
        </w:rPr>
        <w:t>tótagjai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 van Johann Heinrich Alsted is.</w:t>
      </w:r>
    </w:p>
    <w:p w:rsidR="008E5116" w:rsidRDefault="008E5116">
      <w:pPr>
        <w:spacing w:line="360" w:lineRule="auto"/>
        <w:jc w:val="both"/>
      </w:pPr>
    </w:p>
    <w:p w:rsidR="008E5116" w:rsidRDefault="008E5116">
      <w:pPr>
        <w:pStyle w:val="Cmsor2"/>
        <w:keepNext w:val="0"/>
        <w:keepLines w:val="0"/>
        <w:spacing w:after="80" w:line="360" w:lineRule="auto"/>
        <w:contextualSpacing w:val="0"/>
        <w:jc w:val="both"/>
      </w:pPr>
      <w:bookmarkStart w:id="1" w:name="h.8xc5tkksqg92" w:colFirst="0" w:colLast="0"/>
      <w:bookmarkEnd w:id="1"/>
    </w:p>
    <w:p w:rsidR="008E5116" w:rsidRDefault="00E579F5">
      <w:r>
        <w:br w:type="page"/>
      </w:r>
    </w:p>
    <w:p w:rsidR="008E5116" w:rsidRDefault="008E5116">
      <w:pPr>
        <w:pStyle w:val="Cmsor2"/>
        <w:keepNext w:val="0"/>
        <w:keepLines w:val="0"/>
        <w:spacing w:after="80" w:line="360" w:lineRule="auto"/>
        <w:contextualSpacing w:val="0"/>
        <w:jc w:val="both"/>
      </w:pPr>
      <w:bookmarkStart w:id="2" w:name="h.ul7nqrechb6y" w:colFirst="0" w:colLast="0"/>
      <w:bookmarkEnd w:id="2"/>
    </w:p>
    <w:p w:rsidR="008E5116" w:rsidRDefault="00E579F5">
      <w:pPr>
        <w:pStyle w:val="Cmsor2"/>
        <w:keepNext w:val="0"/>
        <w:keepLines w:val="0"/>
        <w:spacing w:after="80" w:line="360" w:lineRule="auto"/>
        <w:contextualSpacing w:val="0"/>
        <w:jc w:val="both"/>
      </w:pPr>
      <w:bookmarkStart w:id="3" w:name="h.gz7rab50vf9l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kutatás módszertana és az értekezés felépítése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Dolgozatomban az 1620-as évek apokaliptikus jóslatait vizsgáltam, melyek közül elsősorban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könyvtárban mindmáig fellelhető szövegekre koncen</w:t>
      </w:r>
      <w:r>
        <w:rPr>
          <w:rFonts w:ascii="Times New Roman" w:eastAsia="Times New Roman" w:hAnsi="Times New Roman" w:cs="Times New Roman"/>
          <w:sz w:val="24"/>
          <w:szCs w:val="24"/>
        </w:rPr>
        <w:t>tráltam. A magyar és külföldi szakirodalom áttekintése során a legújabb kutatási eredmények bemutatására törekedtem, emellett igyekeztem bemutatni a történelemszemléleti változásokat is. Az eddig kevéssé ismert forrásokat nem függelékként, hanem rendszerin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dolgozat főszövegében – esetleg lábjegyzetben – betűhív átírásban ismertettem. Disszertációm elkészítéséhez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 mellett kutattam Augsburgban, Münchenben,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Wolfenbüttelben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Londonban is.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bevezető fejezetekben részletesen foglalkoztam </w:t>
      </w:r>
      <w:r>
        <w:rPr>
          <w:rFonts w:ascii="Times New Roman" w:eastAsia="Times New Roman" w:hAnsi="Times New Roman" w:cs="Times New Roman"/>
          <w:sz w:val="24"/>
          <w:szCs w:val="24"/>
        </w:rPr>
        <w:t>a keresztény történelemszemlélet újkori átalakulásával, majd a reneszánsz messianizmussal. A földrajzi felfedezéseknek és a nyomtatás elterjedésének köszönhetően kinyíltak a világ kapui a késő reneszánsz gondolkodói előtt, s a nyomtatott röplapokkal létrej</w:t>
      </w:r>
      <w:r>
        <w:rPr>
          <w:rFonts w:ascii="Times New Roman" w:eastAsia="Times New Roman" w:hAnsi="Times New Roman" w:cs="Times New Roman"/>
          <w:sz w:val="24"/>
          <w:szCs w:val="24"/>
        </w:rPr>
        <w:t>ött az első információrobbanás. Alsted egyetemes tudománya szorosan kapcsolódik a reneszánsz univerzalizmushoz.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ezt követő fejezetekben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apokaliptika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újkori megjelenését jártam körbe. Minden korszakban találunk olyan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csoportot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akik úgy gondolták, igen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közel van a világ vége, s a túlélés kulcsa egyedül az ő kezükben van. A 17. századi európai események olyan kiélezett helyzetet teremtettek – elsősorban a reformáció megjelenését, majd annak továbbgondolásával a 17. századi teljes reformációra irányuló tö</w:t>
      </w:r>
      <w:r>
        <w:rPr>
          <w:rFonts w:ascii="Times New Roman" w:eastAsia="Times New Roman" w:hAnsi="Times New Roman" w:cs="Times New Roman"/>
          <w:sz w:val="24"/>
          <w:szCs w:val="24"/>
        </w:rPr>
        <w:t>rekvéseket és a harmincéves háborút kell kiemelnünk – amelyben a bibliai alapú próféciák elsődleges mankót biztosítottak a túléléshez.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kora újkor során kiemelt jelentőséget kapott az újonnan felfedezett asztrológia, s a korabeli protestáns oktatás során </w:t>
      </w:r>
      <w:r>
        <w:rPr>
          <w:rFonts w:ascii="Times New Roman" w:eastAsia="Times New Roman" w:hAnsi="Times New Roman" w:cs="Times New Roman"/>
          <w:sz w:val="24"/>
          <w:szCs w:val="24"/>
        </w:rPr>
        <w:t>is arra törekedtek Wittenbergben, hogy olyan tudósok nemzedékét neveljék fel, akik humanisztikus érdeklődéssel figyelik az őket körülvevő világ jeleit, Isten kódolt üzeneteit. Alsted is kitüntetett figyelmet szentelt az égi eseményeknek, s kiemelt jelentős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éget tulajdonított a szabályos időközönként bekövetkező együttállásoknak, ezek közül is kiemelve a Szaturnusz és a Jupiter nyolcszáz évente megfigyelhető különleges konstellációját. A század során úgy tűnt, végleg megdőlt Arisztotelész nézete, s az égbolt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csillagainak útja nem konstans, az évszázadok alatt megszokott rendet pedig egy új csillag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feltűnése is megzavarhatja. De mi történik, ha mindez egybe esik a soron következő nagy együttállással, amelyik mindemellett éppen a bűvös hetedik a sorban?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követk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ező fejezetekben Dániel próféta jóslataival és János apostol Jelenések könyvének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apokaliptikájával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foglalkoztam, melyek a korabeli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apokaliptika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legnépszerűbb textusai közé tartoztak. Egy rövid fejezetben bemutattam az erdélyi felsőoktatás 17. századi helyz</w:t>
      </w:r>
      <w:r>
        <w:rPr>
          <w:rFonts w:ascii="Times New Roman" w:eastAsia="Times New Roman" w:hAnsi="Times New Roman" w:cs="Times New Roman"/>
          <w:sz w:val="24"/>
          <w:szCs w:val="24"/>
        </w:rPr>
        <w:t>etét is.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disszertációm központi fejezeteiben Alsted két apokaliptikus művét elemeztem, a már korábban is említett, 1627-ben napvilágot látott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apocalypticis-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 Gyulafehérváron posztumusz megjelent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Prodromus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religionis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triumphan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tis-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Dolgozatom során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Diatribe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német nyelvű fordítására hivatkoztam, Alsted legutolsó, 1641-ben posztumusz megjelent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könyéből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pedig egy fejezetet emeltem ki, mely az ezeréves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milleniumi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királysággal foglalkozik.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Ezt követően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 már fen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tebb is említett próféciáit ismertettem, majd az utolsó fejezetekben Alsted szemléletének utóéletével foglalkoztam. Jan Amos Comenius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professzor tanítványaként tanára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pánszófikus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törekvéseit a legtökéletesebb formában vitte tovább és próbálta te</w:t>
      </w:r>
      <w:r>
        <w:rPr>
          <w:rFonts w:ascii="Times New Roman" w:eastAsia="Times New Roman" w:hAnsi="Times New Roman" w:cs="Times New Roman"/>
          <w:sz w:val="24"/>
          <w:szCs w:val="24"/>
        </w:rPr>
        <w:t>ljes egészében megvalósítani. Munkásságának, kitűzött céljainak, s szemléletének gyökereinél szinte minden esetben Alsted nézeteinek magjaira bukkanhatunk.</w:t>
      </w: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dolgozat legutolsó fejezetében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Mihály zsoltármagyarázatait vizsgáltam. Az erdélyi püspök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lsted nyomdokain haladt, gondolataiban és zsoltármagyarázataiban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professzor célkitűzései köszönnek vissza. Közvetlen kapcsolatot nem találtam a két próféta, Alsted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között, de Comenius alakja a biztosíték,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Alsted által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kijelölt úton haladt tovább, s munkásságával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professzorhoz hasonlóan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parúzia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minél tökéletesebb előkészítésére törekedett.</w:t>
      </w:r>
    </w:p>
    <w:p w:rsidR="008E5116" w:rsidRDefault="008E5116">
      <w:pPr>
        <w:spacing w:line="360" w:lineRule="auto"/>
        <w:jc w:val="both"/>
      </w:pPr>
    </w:p>
    <w:p w:rsidR="008E5116" w:rsidRDefault="008E5116">
      <w:pPr>
        <w:pStyle w:val="Cmsor2"/>
        <w:keepNext w:val="0"/>
        <w:keepLines w:val="0"/>
        <w:spacing w:after="80" w:line="360" w:lineRule="auto"/>
        <w:contextualSpacing w:val="0"/>
        <w:jc w:val="both"/>
      </w:pPr>
      <w:bookmarkStart w:id="4" w:name="h.o3wkcxhrwkyd" w:colFirst="0" w:colLast="0"/>
      <w:bookmarkEnd w:id="4"/>
    </w:p>
    <w:p w:rsidR="008E5116" w:rsidRDefault="00E579F5">
      <w:r>
        <w:br w:type="page"/>
      </w:r>
    </w:p>
    <w:p w:rsidR="008E5116" w:rsidRDefault="008E5116">
      <w:pPr>
        <w:pStyle w:val="Cmsor2"/>
        <w:keepNext w:val="0"/>
        <w:keepLines w:val="0"/>
        <w:spacing w:after="80" w:line="360" w:lineRule="auto"/>
        <w:contextualSpacing w:val="0"/>
        <w:jc w:val="both"/>
      </w:pPr>
      <w:bookmarkStart w:id="5" w:name="h.kqekccgo3lk8" w:colFirst="0" w:colLast="0"/>
      <w:bookmarkEnd w:id="5"/>
    </w:p>
    <w:p w:rsidR="008E5116" w:rsidRDefault="00E579F5">
      <w:pPr>
        <w:pStyle w:val="Cmsor2"/>
        <w:keepNext w:val="0"/>
        <w:keepLines w:val="0"/>
        <w:spacing w:after="80" w:line="360" w:lineRule="auto"/>
        <w:contextualSpacing w:val="0"/>
        <w:jc w:val="both"/>
      </w:pPr>
      <w:bookmarkStart w:id="6" w:name="h.x4x9fw5td042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III. Az értekezés főbb eredményei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Dolgozatomban a 17. század apokaliptikus történelemszemléletével foglalkoztam, s ezen belül is elsősorban Alsted írásaira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evangélikus szeminárium újkori könyvtárára koncentráltam.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prófétikus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váradalmak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kora újkor emberének gondolatvilágán</w:t>
      </w:r>
      <w:r>
        <w:rPr>
          <w:rFonts w:ascii="Times New Roman" w:eastAsia="Times New Roman" w:hAnsi="Times New Roman" w:cs="Times New Roman"/>
          <w:sz w:val="24"/>
          <w:szCs w:val="24"/>
        </w:rPr>
        <w:t>ak szerves részévé váltak, segítettek megérteni saját múltjukat, utat mutattak a jövőbe, s egyben eszközként is szolgáltak a világ befolyásolására. Az újkor prófétáinak jóslataiból részletesen megismerhetjük a korszak apokaliptikus történelemszemléletét.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olgozatomban Alsted próféciái mellett részletesen foglalkoztam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Eustachius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Poyssel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Ioannis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Liptitz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Johannes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Lichtenberger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Grünpeck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Jacob Hartmann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Nicolaus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Hartprecht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prognózisaival,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Mihály zsoltármagyarázatai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val, emellett pedig az újkor évtizedei során is mindvégig nagy népszerűségnek örvendő Sibylla jóslatokkal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krónikájával.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égi események is minduntalan arra emlékeztették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csillagászokat,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hogy eljött a világ történetének utolsó felvonása,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korszak égi eseményei nem tulajdoníthatóak csupán véletlen egybeesésnek, Isten minden egyes jellel újabb és újabb üzenetet küld nekik. 1577-ben egy ragyogó üstökös jelent meg az égbolton, 1603-ban bekövetkezett a hetedik nagy együttállás, a bolygók ugyanab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 a pozícióban voltak, mint a teremtés idején, majd egy évvel később, 1604-ben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conjunctio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magna-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egy új csillag feltűnése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ersősítette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Serpentarius</w:t>
      </w:r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éppen a két legfőbb bolygó között. Alsted kimutatta, hogy az új bolygó hatása univerzális, mégis igazán nagy hatással Közép-Európára lesz, a tüzes háromszög alatti területre, mely magába foglalja a magyar, a német, illetve a cseh-morva régiót.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E579F5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legfőbb céljai között szerepelt a teljes kulturális-spirituális reformáció véghezvitele, melyhez elengedhetetlennek tartotta a protestáns unió megteremtését, a nem keresztény népek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megtérítését, s a Biblia lefordíttatását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világ különböző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nyelveir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Szemlélete szerint ezek a lépések elengedhetetlen feltételei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parúziának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 Krisztus második eljövetelére készítette fel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hívőket az enciklopédia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is, mely a világról megszerezhető tapasztalatok és tudás összességét kívánta a hét kötetbe összegyűjteni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vallotta, hogy Isten két könyvet bocsátott az emberek rendelkezésére, hogy megismerjék a világ tökéletes rendjét. A teremtés megértéséhez mind a két könyvre egyformán szükség van. A Biblia tanulmányozása mellett elengedhetetlen a természet jel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enségeinek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alapos megfigyelése, melyek a Teremtő szellemében található ősképek lenyomatai.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E579F5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 hitte, hogy a krisztusi királyság végre magával hozza majd a teljes reformációt, mikor az egyház nagyságában és tökéletességében ragyoghat.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z w:val="24"/>
          <w:szCs w:val="24"/>
        </w:rPr>
        <w:t>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több helyen is kifejtette, hogy az ezer évet nem csupán a tökéletesség szimbólumaként kell értelmeznünk, hanem ismert világunk természetes időbeosztása szerint. Értekezésében Alsted többször is hangsúlyozza, hogy az ezeréves birodalom, a mártírok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eltámadása és uralkodása a földön megy végbe, még az utolsó ítélet előtt, így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gondolatát teljesen evilági jelenséggé formálja.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posztumusz megjelent kötetében,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Prodromus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religionis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triumphantisban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jól látható, hogy Alsted számára sokk</w:t>
      </w:r>
      <w:r>
        <w:rPr>
          <w:rFonts w:ascii="Times New Roman" w:eastAsia="Times New Roman" w:hAnsi="Times New Roman" w:cs="Times New Roman"/>
          <w:sz w:val="24"/>
          <w:szCs w:val="24"/>
        </w:rPr>
        <w:t>al fontosabbak voltak azok az alapok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,melyek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összekötik a szemben álló feleket, mintsem a különbségek, melyek végérvényesen elválasztanak. Legutolsó művében egyedülálló módon ötvözte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millenarizmust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irénizmussal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 hitte, hogy a protestáns felekezetek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gymással való megbékélése az egyik legnagyobb lépcsőfok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parúziához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vezető úton.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 munkássága során a legtöbb inspirációt keletről kapta - elsődleges forrásai közé tartozott a lengyel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Sendivogius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belgrádi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Stephanus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Pannonius, a sziléziai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származású Johannes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Dobricius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 a Habsburg udvar csillagászai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Cyprian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Johannes Kepler -, meghatározó történelemszemléletét az ő nyomdokaikon haladva alakította ki, s ennek eredményeképpen jutott arra a következtetésre, hogy a protestáns erdélyi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fejedelem meghatározó szerepet fog játszani az elkövetkezendő évek eseményeiben. 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erdélyi főiskolán Alsted lehetőséget kapott, hogy pedagógiai reformját egy feltörekvő közegben valósítsa meg, ahol még erőteljesen hatott a reneszánsz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szellemisége, s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thlen fejedelemsége megfelelő közegnek tűnt a reformáció tökéletesítéséhez, beteljesítéséhez. 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újkor prófétái szinte kivétel nélkül a közeli jövőbe tették a világ utolsó idejének kezdetét, hisz miután letelt az Illés által jósolt hatezer év, bekövetkezett a hetedik nagy együttállás, nem következhetett más az emberiség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történelmében, csak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mille</w:t>
      </w:r>
      <w:r>
        <w:rPr>
          <w:rFonts w:ascii="Times New Roman" w:eastAsia="Times New Roman" w:hAnsi="Times New Roman" w:cs="Times New Roman"/>
          <w:sz w:val="24"/>
          <w:szCs w:val="24"/>
        </w:rPr>
        <w:t>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az Utolsó Ítélet. Az 1620-as éveket a háború borzalmai mellett a várakozás reménysége hatotta át, mely segített a hívőknek átvészelni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nehéz időszakot.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dolgozatomban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bemutatot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próféciák az 1620-as évek elején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születtek, s meglátásom szerint e</w:t>
      </w:r>
      <w:r>
        <w:rPr>
          <w:rFonts w:ascii="Times New Roman" w:eastAsia="Times New Roman" w:hAnsi="Times New Roman" w:cs="Times New Roman"/>
          <w:sz w:val="24"/>
          <w:szCs w:val="24"/>
        </w:rPr>
        <w:t>rőteljes hatással lehettek Alsted későbbi szemléletére és munkásságára. 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könyvtár prófétái” az Utolsó Ítélet konkrét, dátumszerű meghatározására törekedtek, számításaik során egyaránt támaszkodtak az égi jelekre és a Szentírás soraira. A világ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örténelmének utolsó fejezetének kezdetét rendszerint az 1620-as évekre tették, így néhányuknak szembe kellett nézniük próféciájuk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beteljesületlenségével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is.</w:t>
      </w: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116" w:rsidRDefault="00E579F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 közvetlen kapcsolatot nem találtam, de Comenius alakja a biztosít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ék,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mindvégig az Alsted által kijelölt úton haladt tovább, s munkásságával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professzorhoz hasonlóan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parúzia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minél tökéletesebb előkészítésére törekedett.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elődeihez hasonlóan minduntalan arra kérte híveit, hogy tanuljanak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múlt eseményeiből, hisz csak így juthatnak előre, s így állíthatják helyre a világ rég elvesztett harmóniáját. 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Alsted, Comenius, majd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azt hirdette, hogy mindenkinek legelőször önmagában kell megtalálnia Isten elvesztett képmását, így értheti c</w:t>
      </w:r>
      <w:r>
        <w:rPr>
          <w:rFonts w:ascii="Times New Roman" w:eastAsia="Times New Roman" w:hAnsi="Times New Roman" w:cs="Times New Roman"/>
          <w:sz w:val="24"/>
          <w:szCs w:val="24"/>
        </w:rPr>
        <w:t>sak meg a Teremtés és a világ rendjét.</w:t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8E5116" w:rsidRDefault="008E5116">
      <w:pPr>
        <w:spacing w:line="360" w:lineRule="auto"/>
        <w:jc w:val="both"/>
      </w:pPr>
    </w:p>
    <w:p w:rsidR="008E5116" w:rsidRDefault="00E579F5">
      <w:r>
        <w:br w:type="page"/>
      </w:r>
    </w:p>
    <w:p w:rsidR="008E5116" w:rsidRDefault="008E5116">
      <w:pPr>
        <w:spacing w:line="360" w:lineRule="auto"/>
        <w:jc w:val="both"/>
      </w:pPr>
    </w:p>
    <w:p w:rsidR="008E5116" w:rsidRDefault="00E579F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témához kapcsolódó publikációk</w:t>
      </w:r>
    </w:p>
    <w:p w:rsidR="008E5116" w:rsidRDefault="008E5116">
      <w:pPr>
        <w:spacing w:line="360" w:lineRule="auto"/>
        <w:jc w:val="both"/>
      </w:pPr>
    </w:p>
    <w:p w:rsidR="008E5116" w:rsidRDefault="008E5116">
      <w:pPr>
        <w:spacing w:line="360" w:lineRule="auto"/>
        <w:jc w:val="both"/>
      </w:pPr>
    </w:p>
    <w:tbl>
      <w:tblPr>
        <w:tblStyle w:val="a"/>
        <w:tblW w:w="9000" w:type="dxa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75"/>
        <w:gridCol w:w="6825"/>
      </w:tblGrid>
      <w:tr w:rsidR="008E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Protestáns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mártirológia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kora újkorban, konferencia, Debrecen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előadás címe: Mártírok királysága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Alsted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millenarizmus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tanulmány megjelenése: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Protestáns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mártirológia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kora újkorban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Litteraria, 2012/3-4.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E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BTK Történettudományi Intézetének szervezésében zajlott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Lazarista Rendtörténeti Konferencia anyagának szerkesztése</w:t>
            </w:r>
          </w:p>
        </w:tc>
      </w:tr>
      <w:tr w:rsidR="008E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8E5116">
            <w:pPr>
              <w:spacing w:line="360" w:lineRule="auto"/>
              <w:jc w:val="both"/>
            </w:pP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Történelemtudományi Doktori Iskolája Eszmetörténeti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Műhelyének Konferenciája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előadás: Johann Heinrich Alsted a 17. századi szellemi áramlatok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örvényében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megjelenés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alatt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E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116" w:rsidRDefault="008E5116">
            <w:pPr>
              <w:spacing w:line="360" w:lineRule="auto"/>
              <w:jc w:val="both"/>
            </w:pP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Bethlen Gábor trónra lépésének 400. évfordulójára rendezett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nemzetközi konferencia, Kolozsvár</w:t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előadás címe: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Bethlen Gábor Erdélye es Alsted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apokaliptikája</w:t>
            </w:r>
            <w:proofErr w:type="spellEnd"/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Tanulmány megjelenése: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Bethlen Erdélye, Erdély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Bethlene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szerk.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DÁNÉ Veronika, LUPESCU Makó Mária, OBRONI Teréz, Kolozsvár, Erdélyi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Múzeum-Egyesület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5116" w:rsidRDefault="00E579F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E5116" w:rsidRDefault="008E5116">
      <w:pPr>
        <w:jc w:val="both"/>
      </w:pPr>
    </w:p>
    <w:sectPr w:rsidR="008E511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255"/>
    <w:multiLevelType w:val="multilevel"/>
    <w:tmpl w:val="2CDE9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30C6FBF"/>
    <w:multiLevelType w:val="multilevel"/>
    <w:tmpl w:val="88DE3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0D5412"/>
    <w:multiLevelType w:val="multilevel"/>
    <w:tmpl w:val="1868C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1A0EDA"/>
    <w:multiLevelType w:val="multilevel"/>
    <w:tmpl w:val="039A6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B54F2B"/>
    <w:multiLevelType w:val="multilevel"/>
    <w:tmpl w:val="D1261D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FF60E87"/>
    <w:multiLevelType w:val="multilevel"/>
    <w:tmpl w:val="E54E9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8C14C10"/>
    <w:multiLevelType w:val="multilevel"/>
    <w:tmpl w:val="91944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5116"/>
    <w:rsid w:val="008E5116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2462</Words>
  <Characters>16989</Characters>
  <Application>Microsoft Office Word</Application>
  <DocSecurity>0</DocSecurity>
  <Lines>141</Lines>
  <Paragraphs>38</Paragraphs>
  <ScaleCrop>false</ScaleCrop>
  <Company>PPKE BTK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felhasználó</cp:lastModifiedBy>
  <cp:revision>3</cp:revision>
  <dcterms:created xsi:type="dcterms:W3CDTF">2016-04-14T07:49:00Z</dcterms:created>
  <dcterms:modified xsi:type="dcterms:W3CDTF">2016-04-14T07:49:00Z</dcterms:modified>
</cp:coreProperties>
</file>