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8"/>
        <w:gridCol w:w="1554"/>
      </w:tblGrid>
      <w:tr w:rsidR="0058704A" w:rsidRPr="00D510E1" w:rsidTr="008C0804"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8704A" w:rsidRPr="00D510E1" w:rsidRDefault="0058704A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</w:t>
            </w: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neve:</w:t>
            </w:r>
            <w:r w:rsidRPr="00D510E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BT-PSZ-5080 </w:t>
            </w:r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>Esetmegbeszélés 1.</w:t>
            </w:r>
          </w:p>
        </w:tc>
        <w:tc>
          <w:tcPr>
            <w:tcW w:w="15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8704A" w:rsidRPr="00D510E1" w:rsidRDefault="0058704A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Kreditértéke: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4</w:t>
            </w:r>
          </w:p>
        </w:tc>
      </w:tr>
      <w:tr w:rsidR="0058704A" w:rsidRPr="00D510E1" w:rsidTr="008C080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8704A" w:rsidRPr="00D510E1" w:rsidRDefault="0058704A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A tantárgy </w:t>
            </w:r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>besorolása</w:t>
            </w: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kötelező </w:t>
            </w:r>
          </w:p>
        </w:tc>
      </w:tr>
      <w:tr w:rsidR="0058704A" w:rsidRPr="00D510E1" w:rsidTr="008C0804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8704A" w:rsidRPr="00D510E1" w:rsidRDefault="0058704A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A tantárgy elméleti vagy </w:t>
            </w:r>
            <w:r w:rsidRPr="00D510E1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gyakorlati</w:t>
            </w:r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jellegének mértéke, „</w:t>
            </w:r>
            <w:r w:rsidRPr="00D510E1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képzési </w:t>
            </w:r>
            <w:proofErr w:type="gramStart"/>
            <w:r w:rsidRPr="00D510E1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karaktere</w:t>
            </w:r>
            <w:proofErr w:type="gramEnd"/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>”</w:t>
            </w: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: 100%</w:t>
            </w:r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(kredit%)</w:t>
            </w:r>
          </w:p>
        </w:tc>
      </w:tr>
      <w:tr w:rsidR="0058704A" w:rsidRPr="00D510E1" w:rsidTr="008C0804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8704A" w:rsidRPr="00D510E1" w:rsidRDefault="0058704A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>tanóra típusa</w:t>
            </w: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>szeminárium</w:t>
            </w: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 és </w:t>
            </w:r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>óraszáma</w:t>
            </w: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heti 5 </w:t>
            </w: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az adott </w:t>
            </w:r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>félévben</w:t>
            </w: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</w:p>
          <w:p w:rsidR="0058704A" w:rsidRPr="00D510E1" w:rsidRDefault="0058704A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Az adott ismeret átadásában alkalmazandó </w:t>
            </w:r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>további</w:t>
            </w: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 (</w:t>
            </w:r>
            <w:r w:rsidRPr="00D510E1">
              <w:rPr>
                <w:rFonts w:ascii="Times New Roman" w:eastAsia="Times New Roman" w:hAnsi="Times New Roman" w:cs="Times New Roman"/>
                <w:i/>
                <w:lang w:eastAsia="hu-HU"/>
              </w:rPr>
              <w:t>sajátos</w:t>
            </w: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>módok, jellemzők</w:t>
            </w:r>
            <w:r w:rsidRPr="00D510E1">
              <w:rPr>
                <w:rFonts w:ascii="Times New Roman" w:eastAsia="Times New Roman" w:hAnsi="Times New Roman" w:cs="Times New Roman"/>
                <w:i/>
                <w:color w:val="333399"/>
                <w:lang w:eastAsia="hu-HU"/>
              </w:rPr>
              <w:t xml:space="preserve">: </w:t>
            </w:r>
            <w:r w:rsidRPr="00D510E1">
              <w:rPr>
                <w:rFonts w:ascii="Times New Roman" w:eastAsia="Times New Roman" w:hAnsi="Times New Roman" w:cs="Times New Roman"/>
                <w:i/>
                <w:lang w:eastAsia="hu-HU"/>
              </w:rPr>
              <w:t>esetismertetés, szerepjáték</w:t>
            </w:r>
          </w:p>
        </w:tc>
      </w:tr>
      <w:tr w:rsidR="0058704A" w:rsidRPr="00D510E1" w:rsidTr="008C0804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8704A" w:rsidRPr="00D510E1" w:rsidRDefault="0058704A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számonkérés </w:t>
            </w: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módja (</w:t>
            </w:r>
            <w:proofErr w:type="spellStart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koll</w:t>
            </w:r>
            <w:proofErr w:type="spellEnd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. / </w:t>
            </w:r>
            <w:proofErr w:type="spellStart"/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>gyj</w:t>
            </w:r>
            <w:proofErr w:type="spellEnd"/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 / egyéb): </w:t>
            </w:r>
            <w:proofErr w:type="spellStart"/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>gyj</w:t>
            </w:r>
            <w:proofErr w:type="spellEnd"/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</w:p>
          <w:p w:rsidR="0058704A" w:rsidRPr="00D510E1" w:rsidRDefault="0058704A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99"/>
                <w:lang w:eastAsia="hu-HU"/>
              </w:rPr>
            </w:pP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Az ismeretellenőrzésben alkalmazandó </w:t>
            </w:r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további </w:t>
            </w: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D510E1">
              <w:rPr>
                <w:rFonts w:ascii="Times New Roman" w:eastAsia="Times New Roman" w:hAnsi="Times New Roman" w:cs="Times New Roman"/>
                <w:i/>
                <w:lang w:eastAsia="hu-HU"/>
              </w:rPr>
              <w:t>sajátos</w:t>
            </w: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>módok</w:t>
            </w:r>
            <w:r w:rsidRPr="00D510E1">
              <w:rPr>
                <w:rFonts w:ascii="Times New Roman" w:eastAsia="Times New Roman" w:hAnsi="Times New Roman" w:cs="Times New Roman"/>
                <w:i/>
                <w:color w:val="333399"/>
                <w:lang w:eastAsia="hu-HU"/>
              </w:rPr>
              <w:t xml:space="preserve">: </w:t>
            </w: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projektmunkák, folyamatos számonkérés</w:t>
            </w:r>
          </w:p>
        </w:tc>
      </w:tr>
      <w:tr w:rsidR="0058704A" w:rsidRPr="00D510E1" w:rsidTr="008C080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8704A" w:rsidRPr="00D510E1" w:rsidRDefault="0058704A" w:rsidP="00700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A tantárgy </w:t>
            </w:r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>tantervi helye</w:t>
            </w: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 (hányadik félév): </w:t>
            </w:r>
            <w:r w:rsidR="0070088C">
              <w:rPr>
                <w:rFonts w:ascii="Times New Roman" w:eastAsia="Times New Roman" w:hAnsi="Times New Roman" w:cs="Times New Roman"/>
                <w:b/>
                <w:lang w:eastAsia="hu-HU"/>
              </w:rPr>
              <w:t>3</w:t>
            </w:r>
            <w:bookmarkStart w:id="0" w:name="_GoBack"/>
            <w:bookmarkEnd w:id="0"/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</w:p>
        </w:tc>
      </w:tr>
      <w:tr w:rsidR="0058704A" w:rsidRPr="00D510E1" w:rsidTr="008C0804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8704A" w:rsidRPr="00D510E1" w:rsidRDefault="0058704A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Előtanulmányi feltételek:</w:t>
            </w:r>
            <w:r w:rsidRPr="00D510E1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>-</w:t>
            </w:r>
          </w:p>
        </w:tc>
      </w:tr>
      <w:tr w:rsidR="0058704A" w:rsidRPr="00D510E1" w:rsidTr="008C0804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8704A" w:rsidRPr="00D510E1" w:rsidRDefault="0058704A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>Tantárgyleírás</w:t>
            </w: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: az elsajátítandó </w:t>
            </w:r>
            <w:r w:rsidRPr="00D510E1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ismeretanyag tömör, ugyanakkor </w:t>
            </w:r>
            <w:proofErr w:type="gramStart"/>
            <w:r w:rsidRPr="00D510E1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informáló</w:t>
            </w:r>
            <w:proofErr w:type="gramEnd"/>
            <w:r w:rsidRPr="00D510E1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 leírása</w:t>
            </w:r>
          </w:p>
        </w:tc>
      </w:tr>
      <w:tr w:rsidR="0058704A" w:rsidRPr="00D510E1" w:rsidTr="008C0804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58704A" w:rsidRPr="00D510E1" w:rsidRDefault="0058704A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10E1">
              <w:rPr>
                <w:rFonts w:ascii="Times New Roman" w:eastAsia="Times New Roman" w:hAnsi="Times New Roman" w:cs="Times New Roman"/>
                <w:b/>
              </w:rPr>
              <w:t xml:space="preserve">A </w:t>
            </w:r>
            <w:proofErr w:type="gramStart"/>
            <w:r w:rsidRPr="00D510E1">
              <w:rPr>
                <w:rFonts w:ascii="Times New Roman" w:eastAsia="Times New Roman" w:hAnsi="Times New Roman" w:cs="Times New Roman"/>
                <w:b/>
              </w:rPr>
              <w:t>kurzus</w:t>
            </w:r>
            <w:proofErr w:type="gramEnd"/>
            <w:r w:rsidRPr="00D510E1">
              <w:rPr>
                <w:rFonts w:ascii="Times New Roman" w:eastAsia="Times New Roman" w:hAnsi="Times New Roman" w:cs="Times New Roman"/>
                <w:b/>
              </w:rPr>
              <w:t xml:space="preserve"> célja:</w:t>
            </w:r>
            <w:r w:rsidRPr="00D510E1">
              <w:rPr>
                <w:rFonts w:ascii="Times New Roman" w:eastAsia="Times New Roman" w:hAnsi="Times New Roman" w:cs="Times New Roman"/>
              </w:rPr>
              <w:t xml:space="preserve"> A hallgatók megismerjék a sajátos nevelési igényű tanulókkal való foglalkozás legfontosabb pedagógiai elveit és gyakorlatát és képessé váljanak a különböző típusú hátrányok felismerésére és a különböző differenciáló alapmódszerek beazonosítására, alkalmazására.</w:t>
            </w:r>
          </w:p>
          <w:p w:rsidR="0058704A" w:rsidRPr="00D510E1" w:rsidRDefault="0058704A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510E1">
              <w:rPr>
                <w:rFonts w:ascii="Times New Roman" w:eastAsia="Times New Roman" w:hAnsi="Times New Roman" w:cs="Times New Roman"/>
                <w:b/>
              </w:rPr>
              <w:t>Főbb tematikai csomópontok:</w:t>
            </w:r>
          </w:p>
          <w:p w:rsidR="0058704A" w:rsidRPr="00D510E1" w:rsidRDefault="0058704A" w:rsidP="0058704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Stressz, Szorongás, - iskolai szorongás, a szorongás mérséklése</w:t>
            </w:r>
          </w:p>
          <w:p w:rsidR="0058704A" w:rsidRPr="00D510E1" w:rsidRDefault="0058704A" w:rsidP="0058704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A tanulói veszélyeztetettség különböző típusai és ezek kezelése</w:t>
            </w:r>
          </w:p>
          <w:p w:rsidR="0058704A" w:rsidRPr="00D510E1" w:rsidRDefault="0058704A" w:rsidP="0058704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Hátrányos helyzet, </w:t>
            </w:r>
            <w:proofErr w:type="gramStart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speciális</w:t>
            </w:r>
            <w:proofErr w:type="gramEnd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 szükséglettel rendelkező gyerekek az iskolában</w:t>
            </w:r>
          </w:p>
          <w:p w:rsidR="0058704A" w:rsidRPr="00D510E1" w:rsidRDefault="0058704A" w:rsidP="0058704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Az </w:t>
            </w:r>
            <w:proofErr w:type="gramStart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agresszió</w:t>
            </w:r>
            <w:proofErr w:type="gramEnd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 és az antiszociális viselkedés kezelése,</w:t>
            </w:r>
          </w:p>
          <w:p w:rsidR="0058704A" w:rsidRPr="00D510E1" w:rsidRDefault="0058704A" w:rsidP="0058704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Az iskolai erőszak, bántalmazás kezelésének eszközei, módszerei</w:t>
            </w:r>
          </w:p>
        </w:tc>
      </w:tr>
      <w:tr w:rsidR="0058704A" w:rsidRPr="00D510E1" w:rsidTr="008C0804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704A" w:rsidRPr="00D510E1" w:rsidRDefault="0058704A" w:rsidP="008C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>2–5</w:t>
            </w: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 legfontosabb </w:t>
            </w:r>
            <w:r w:rsidRPr="00D510E1">
              <w:rPr>
                <w:rFonts w:ascii="Times New Roman" w:eastAsia="Times New Roman" w:hAnsi="Times New Roman" w:cs="Times New Roman"/>
                <w:i/>
                <w:lang w:eastAsia="hu-HU"/>
              </w:rPr>
              <w:t>kötelező,</w:t>
            </w: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 illetve </w:t>
            </w:r>
            <w:r w:rsidRPr="00D510E1">
              <w:rPr>
                <w:rFonts w:ascii="Times New Roman" w:eastAsia="Times New Roman" w:hAnsi="Times New Roman" w:cs="Times New Roman"/>
                <w:i/>
                <w:lang w:eastAsia="hu-HU"/>
              </w:rPr>
              <w:t>ajánlott</w:t>
            </w:r>
            <w:r w:rsidRPr="00D510E1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irodalom </w:t>
            </w: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58704A" w:rsidRPr="00D510E1" w:rsidTr="008C0804"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58704A" w:rsidRPr="00D510E1" w:rsidRDefault="0058704A" w:rsidP="008C0804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D510E1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Kötelező irodalom:</w:t>
            </w:r>
          </w:p>
          <w:p w:rsidR="0058704A" w:rsidRPr="00D510E1" w:rsidRDefault="0058704A" w:rsidP="005870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Gordosné Szabó Anna (2012) </w:t>
            </w:r>
            <w:r w:rsidRPr="00D510E1">
              <w:rPr>
                <w:rFonts w:ascii="Times New Roman" w:eastAsia="Times New Roman" w:hAnsi="Times New Roman" w:cs="Times New Roman"/>
                <w:i/>
                <w:lang w:eastAsia="hu-HU"/>
              </w:rPr>
              <w:t>Bevezető általános gyógypedagógiai ismeretek</w:t>
            </w: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. Nemzeti Tankönyvkiadó. Budapest.</w:t>
            </w:r>
          </w:p>
          <w:p w:rsidR="0058704A" w:rsidRPr="00D510E1" w:rsidRDefault="0058704A" w:rsidP="0058704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Réthy Endréné (2002) A </w:t>
            </w:r>
            <w:proofErr w:type="gramStart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speciális</w:t>
            </w:r>
            <w:proofErr w:type="gramEnd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 szükségletű gyerekek nevelése, oktatása Európában: Az integráció és </w:t>
            </w:r>
            <w:proofErr w:type="spellStart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inklúzió</w:t>
            </w:r>
            <w:proofErr w:type="spellEnd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 elméleti és gyakorlati kérdései. In </w:t>
            </w:r>
            <w:r w:rsidRPr="00D510E1">
              <w:rPr>
                <w:rFonts w:ascii="Times New Roman" w:eastAsia="Times New Roman" w:hAnsi="Times New Roman" w:cs="Times New Roman"/>
                <w:i/>
                <w:lang w:eastAsia="hu-HU"/>
              </w:rPr>
              <w:t>Magyar Pedagógia</w:t>
            </w: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. 102. 3. sz. 281-300.</w:t>
            </w:r>
          </w:p>
          <w:p w:rsidR="0058704A" w:rsidRPr="00D510E1" w:rsidRDefault="0058704A" w:rsidP="0058704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Réthy Endréné- Vámos Ágnes (2006) </w:t>
            </w:r>
            <w:r w:rsidRPr="00D510E1">
              <w:rPr>
                <w:rFonts w:ascii="Times New Roman" w:eastAsia="Times New Roman" w:hAnsi="Times New Roman" w:cs="Times New Roman"/>
                <w:i/>
                <w:lang w:eastAsia="hu-HU"/>
              </w:rPr>
              <w:t>Esélyegyenlőség és méltányos pedagógia</w:t>
            </w: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. Budapest, ELTE PPK Neveléstudományi Intézet</w:t>
            </w:r>
          </w:p>
          <w:p w:rsidR="0058704A" w:rsidRPr="00D510E1" w:rsidRDefault="0058704A" w:rsidP="0058704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Atkinson</w:t>
            </w:r>
            <w:proofErr w:type="spellEnd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, R</w:t>
            </w:r>
            <w:proofErr w:type="gramStart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.C</w:t>
            </w:r>
            <w:proofErr w:type="gramEnd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. és </w:t>
            </w:r>
            <w:proofErr w:type="spellStart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Hilgard</w:t>
            </w:r>
            <w:proofErr w:type="spellEnd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, E. (2005) Pszichológia. Osiris, Budapest. (6. fej</w:t>
            </w:r>
            <w:proofErr w:type="gramStart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.:</w:t>
            </w:r>
            <w:proofErr w:type="gramEnd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 Pszichoaktív szerek, 235-247.o., 14. fej.: Stressz és egészség, 523-528.o., 15.fej.: Pszichés rendellenességek, 560-582.o. ) ISBN: 9789633897133</w:t>
            </w:r>
          </w:p>
          <w:p w:rsidR="0058704A" w:rsidRPr="00D510E1" w:rsidRDefault="0058704A" w:rsidP="008C08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>Ajánlott irodalom:</w:t>
            </w: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58704A" w:rsidRPr="00D510E1" w:rsidRDefault="0058704A" w:rsidP="0058704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Babity</w:t>
            </w:r>
            <w:proofErr w:type="spellEnd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 Mária (2005) </w:t>
            </w:r>
            <w:proofErr w:type="gramStart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proofErr w:type="gramEnd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 gyermekbántalmazás felismerése, megelőzése, kezelése. Eötvös József Főiskola, Baja.</w:t>
            </w:r>
          </w:p>
          <w:p w:rsidR="0058704A" w:rsidRPr="00D510E1" w:rsidRDefault="0058704A" w:rsidP="0058704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Budai Mariann – </w:t>
            </w:r>
            <w:proofErr w:type="spellStart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Kőszeghy</w:t>
            </w:r>
            <w:proofErr w:type="spellEnd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 Attila – Szirmai Erika (2008) Az iskolai zaklatás – az ismeretlen </w:t>
            </w:r>
            <w:proofErr w:type="gramStart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ismerős ,</w:t>
            </w:r>
            <w:proofErr w:type="gramEnd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Educatio</w:t>
            </w:r>
            <w:proofErr w:type="spellEnd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, 3. sz. 373-386.o.</w:t>
            </w:r>
          </w:p>
          <w:p w:rsidR="0058704A" w:rsidRPr="00D510E1" w:rsidRDefault="0058704A" w:rsidP="0058704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Farkas Margit (2008) Hiperaktivitás és figyelemzavar (Tájékoztató szülőknek). Budapest: Vadaskert Kórház és Szakambulancia. </w:t>
            </w:r>
            <w:hyperlink r:id="rId5" w:history="1">
              <w:r w:rsidRPr="00D510E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http://docplayer.hu/376831-Hiperaktivitas-es-figyelemzavar-tajekoztato-szulok-reszere.html</w:t>
              </w:r>
            </w:hyperlink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58704A" w:rsidRPr="00D510E1" w:rsidRDefault="0058704A" w:rsidP="0058704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Oláh Attila – Kapitány-Föveny Máté (2012) </w:t>
            </w:r>
            <w:proofErr w:type="gramStart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proofErr w:type="gramEnd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 pozitív pszichológia tíz éve.  Magyar Pszichológiai Szemle, 67.1</w:t>
            </w:r>
            <w:proofErr w:type="gramStart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.,</w:t>
            </w:r>
            <w:proofErr w:type="gramEnd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 19-45.o.</w:t>
            </w:r>
          </w:p>
          <w:p w:rsidR="0058704A" w:rsidRPr="00D510E1" w:rsidRDefault="0058704A" w:rsidP="0058704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510E1">
              <w:rPr>
                <w:rFonts w:ascii="Times New Roman" w:eastAsia="Times New Roman" w:hAnsi="Times New Roman" w:cs="Times New Roman"/>
                <w:iCs/>
                <w:lang w:eastAsia="hu-HU"/>
              </w:rPr>
              <w:t>Szitó</w:t>
            </w:r>
            <w:proofErr w:type="spellEnd"/>
            <w:r w:rsidRPr="00D510E1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I. - Katona Nóra (2007) </w:t>
            </w: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Hátrányos helyzet, veszélyeztetettség és iskolai siker, Mester és Tanítvány, 14, 35-53.o.</w:t>
            </w:r>
          </w:p>
        </w:tc>
      </w:tr>
      <w:tr w:rsidR="0058704A" w:rsidRPr="00D510E1" w:rsidTr="008C0804">
        <w:tc>
          <w:tcPr>
            <w:tcW w:w="8812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704A" w:rsidRPr="00D510E1" w:rsidRDefault="0058704A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 xml:space="preserve">Azoknak az </w:t>
            </w:r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>előírt</w:t>
            </w: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 s</w:t>
            </w:r>
            <w:r w:rsidRPr="00D510E1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zakmai </w:t>
            </w:r>
            <w:proofErr w:type="gramStart"/>
            <w:r w:rsidRPr="00D510E1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kompetenciáknak</w:t>
            </w:r>
            <w:proofErr w:type="gramEnd"/>
            <w:r w:rsidRPr="00D510E1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, kompetenciaelemeknek</w:t>
            </w: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D510E1">
              <w:rPr>
                <w:rFonts w:ascii="Times New Roman" w:eastAsia="Times New Roman" w:hAnsi="Times New Roman" w:cs="Times New Roman"/>
                <w:i/>
                <w:lang w:eastAsia="hu-HU"/>
              </w:rPr>
              <w:t>(tudás, képesség</w:t>
            </w: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 stb., </w:t>
            </w:r>
            <w:r w:rsidRPr="00D510E1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KKK </w:t>
            </w:r>
            <w:r w:rsidRPr="00D510E1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7.</w:t>
            </w:r>
            <w:r w:rsidRPr="00D510E1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pont</w:t>
            </w: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) a felsorolása, </w:t>
            </w:r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>amelyek kialakításához a tantárgy jellemzően, érdemben hozzájárul</w:t>
            </w:r>
          </w:p>
        </w:tc>
      </w:tr>
      <w:tr w:rsidR="0058704A" w:rsidRPr="00D510E1" w:rsidTr="008C0804">
        <w:trPr>
          <w:trHeight w:val="296"/>
        </w:trPr>
        <w:tc>
          <w:tcPr>
            <w:tcW w:w="88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58704A" w:rsidRPr="00D510E1" w:rsidRDefault="0058704A" w:rsidP="008C08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</w:pPr>
            <w:r w:rsidRPr="00D510E1"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  <w:t>a) tudása</w:t>
            </w:r>
          </w:p>
          <w:p w:rsidR="0058704A" w:rsidRPr="00D510E1" w:rsidRDefault="0058704A" w:rsidP="0058704A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D510E1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</w:t>
            </w: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Ismeri a </w:t>
            </w:r>
            <w:proofErr w:type="gramStart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speciális</w:t>
            </w:r>
            <w:proofErr w:type="gramEnd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 nevelési igényű személyek és csoportok pedagógiájával kapcsolatos alapkérdéseket.</w:t>
            </w:r>
          </w:p>
          <w:p w:rsidR="0058704A" w:rsidRPr="00D510E1" w:rsidRDefault="0058704A" w:rsidP="0058704A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Ismeri az iskoláskorúak körében jellemző lelki egészséget védő (</w:t>
            </w:r>
            <w:proofErr w:type="spellStart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protektív</w:t>
            </w:r>
            <w:proofErr w:type="spellEnd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) és veszélyeztető (kockázati) </w:t>
            </w:r>
            <w:proofErr w:type="gramStart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faktorokat</w:t>
            </w:r>
            <w:proofErr w:type="gramEnd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  <w:p w:rsidR="0058704A" w:rsidRPr="00D510E1" w:rsidRDefault="0058704A" w:rsidP="0058704A">
            <w:pPr>
              <w:numPr>
                <w:ilvl w:val="1"/>
                <w:numId w:val="7"/>
              </w:numPr>
              <w:tabs>
                <w:tab w:val="left" w:pos="317"/>
              </w:tabs>
              <w:spacing w:after="0" w:line="240" w:lineRule="auto"/>
              <w:ind w:left="488"/>
              <w:contextualSpacing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Ismeri a stressz és szorongás keletkezési mechanizmusait és azok oldására vonatkozó lehetőségeket</w:t>
            </w:r>
            <w:r w:rsidRPr="00D510E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  <w:p w:rsidR="0058704A" w:rsidRPr="00D510E1" w:rsidRDefault="0058704A" w:rsidP="008C080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</w:pPr>
            <w:r w:rsidRPr="00D510E1"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  <w:t>b) képességei</w:t>
            </w:r>
          </w:p>
          <w:p w:rsidR="0058704A" w:rsidRPr="00D510E1" w:rsidRDefault="0058704A" w:rsidP="0058704A"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630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</w:pP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Képes felismerni a különleges bánásmódot illetve a sajátos nevelésű tanulókat.</w:t>
            </w:r>
          </w:p>
          <w:p w:rsidR="0058704A" w:rsidRPr="00D510E1" w:rsidRDefault="0058704A" w:rsidP="0058704A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630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Képes azonosítani saját intézményében a fiatalok lelki egészségének </w:t>
            </w:r>
            <w:proofErr w:type="spellStart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protektív</w:t>
            </w:r>
            <w:proofErr w:type="spellEnd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 és kockázati tényezőit.</w:t>
            </w:r>
          </w:p>
          <w:p w:rsidR="0058704A" w:rsidRPr="00D510E1" w:rsidRDefault="0058704A" w:rsidP="0058704A">
            <w:pPr>
              <w:numPr>
                <w:ilvl w:val="1"/>
                <w:numId w:val="9"/>
              </w:numPr>
              <w:tabs>
                <w:tab w:val="left" w:pos="317"/>
              </w:tabs>
              <w:spacing w:after="0" w:line="240" w:lineRule="auto"/>
              <w:ind w:left="630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Képes problémaérzékenyen viszonyulni a sajátos nevelési igényű diákokhoz</w:t>
            </w:r>
          </w:p>
          <w:p w:rsidR="0058704A" w:rsidRPr="00D510E1" w:rsidRDefault="0058704A" w:rsidP="0058704A">
            <w:pPr>
              <w:numPr>
                <w:ilvl w:val="1"/>
                <w:numId w:val="9"/>
              </w:numPr>
              <w:tabs>
                <w:tab w:val="left" w:pos="317"/>
              </w:tabs>
              <w:spacing w:after="0" w:line="240" w:lineRule="auto"/>
              <w:ind w:left="630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Képes pedagógiai megoldásai során a gyakorlat és az elmélet által </w:t>
            </w:r>
            <w:proofErr w:type="spellStart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felkínáltakat</w:t>
            </w:r>
            <w:proofErr w:type="spellEnd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 xml:space="preserve"> mérlegelni </w:t>
            </w:r>
          </w:p>
          <w:p w:rsidR="0058704A" w:rsidRPr="00D510E1" w:rsidRDefault="0058704A" w:rsidP="008C0804">
            <w:pPr>
              <w:suppressAutoHyphens/>
              <w:autoSpaceDN w:val="0"/>
              <w:spacing w:after="0" w:line="240" w:lineRule="auto"/>
              <w:ind w:left="128"/>
              <w:jc w:val="both"/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</w:pPr>
            <w:r w:rsidRPr="00D510E1"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  <w:t>c) attitűdje</w:t>
            </w:r>
          </w:p>
          <w:p w:rsidR="0058704A" w:rsidRPr="00D510E1" w:rsidRDefault="0058704A" w:rsidP="0058704A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488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D510E1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Nyitott sajátos nevelést igénylő tanulók esetében a differenciált módszerek alkalmazására.</w:t>
            </w:r>
          </w:p>
        </w:tc>
      </w:tr>
      <w:tr w:rsidR="0058704A" w:rsidRPr="00D510E1" w:rsidTr="008C0804">
        <w:trPr>
          <w:trHeight w:val="338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8704A" w:rsidRPr="00D510E1" w:rsidRDefault="0058704A" w:rsidP="008C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u-HU"/>
              </w:rPr>
            </w:pPr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felelőse </w:t>
            </w: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D510E1">
              <w:rPr>
                <w:rFonts w:ascii="Times New Roman" w:eastAsia="Times New Roman" w:hAnsi="Times New Roman" w:cs="Times New Roman"/>
                <w:i/>
                <w:lang w:eastAsia="hu-HU"/>
              </w:rPr>
              <w:t>név, beosztás, tud. fokozat</w:t>
            </w: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>: Szőke-</w:t>
            </w:r>
            <w:proofErr w:type="spellStart"/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>Milinte</w:t>
            </w:r>
            <w:proofErr w:type="spellEnd"/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Enikő</w:t>
            </w:r>
          </w:p>
        </w:tc>
      </w:tr>
      <w:tr w:rsidR="0058704A" w:rsidRPr="00D510E1" w:rsidTr="008C0804">
        <w:trPr>
          <w:trHeight w:val="337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8704A" w:rsidRPr="00D510E1" w:rsidRDefault="0058704A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oktatásába bevont </w:t>
            </w:r>
            <w:proofErr w:type="gramStart"/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>oktató(</w:t>
            </w:r>
            <w:proofErr w:type="gramEnd"/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k), </w:t>
            </w: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ha van(</w:t>
            </w:r>
            <w:proofErr w:type="spellStart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nak</w:t>
            </w:r>
            <w:proofErr w:type="spellEnd"/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D510E1">
              <w:rPr>
                <w:rFonts w:ascii="Times New Roman" w:eastAsia="Times New Roman" w:hAnsi="Times New Roman" w:cs="Times New Roman"/>
                <w:i/>
                <w:lang w:eastAsia="hu-HU"/>
              </w:rPr>
              <w:t>név, beosztás, tud. fokozat</w:t>
            </w:r>
            <w:r w:rsidRPr="00D510E1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D510E1">
              <w:rPr>
                <w:rFonts w:ascii="Times New Roman" w:eastAsia="Times New Roman" w:hAnsi="Times New Roman" w:cs="Times New Roman"/>
                <w:b/>
                <w:lang w:eastAsia="hu-HU"/>
              </w:rPr>
              <w:t>: Horváth Mariann</w:t>
            </w:r>
          </w:p>
        </w:tc>
      </w:tr>
    </w:tbl>
    <w:p w:rsidR="000C779E" w:rsidRDefault="000C779E"/>
    <w:sectPr w:rsidR="000C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AB3"/>
    <w:multiLevelType w:val="hybridMultilevel"/>
    <w:tmpl w:val="44D64036"/>
    <w:lvl w:ilvl="0" w:tplc="2042D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765A6"/>
    <w:multiLevelType w:val="hybridMultilevel"/>
    <w:tmpl w:val="A922FF62"/>
    <w:lvl w:ilvl="0" w:tplc="2042D970">
      <w:start w:val="1"/>
      <w:numFmt w:val="bullet"/>
      <w:lvlText w:val=""/>
      <w:lvlJc w:val="left"/>
      <w:pPr>
        <w:ind w:left="423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43" w:hanging="360"/>
      </w:pPr>
    </w:lvl>
    <w:lvl w:ilvl="2" w:tplc="040E001B" w:tentative="1">
      <w:start w:val="1"/>
      <w:numFmt w:val="lowerRoman"/>
      <w:lvlText w:val="%3."/>
      <w:lvlJc w:val="right"/>
      <w:pPr>
        <w:ind w:left="1863" w:hanging="180"/>
      </w:pPr>
    </w:lvl>
    <w:lvl w:ilvl="3" w:tplc="040E000F" w:tentative="1">
      <w:start w:val="1"/>
      <w:numFmt w:val="decimal"/>
      <w:lvlText w:val="%4."/>
      <w:lvlJc w:val="left"/>
      <w:pPr>
        <w:ind w:left="2583" w:hanging="360"/>
      </w:pPr>
    </w:lvl>
    <w:lvl w:ilvl="4" w:tplc="040E0019" w:tentative="1">
      <w:start w:val="1"/>
      <w:numFmt w:val="lowerLetter"/>
      <w:lvlText w:val="%5."/>
      <w:lvlJc w:val="left"/>
      <w:pPr>
        <w:ind w:left="3303" w:hanging="360"/>
      </w:pPr>
    </w:lvl>
    <w:lvl w:ilvl="5" w:tplc="040E001B" w:tentative="1">
      <w:start w:val="1"/>
      <w:numFmt w:val="lowerRoman"/>
      <w:lvlText w:val="%6."/>
      <w:lvlJc w:val="right"/>
      <w:pPr>
        <w:ind w:left="4023" w:hanging="180"/>
      </w:pPr>
    </w:lvl>
    <w:lvl w:ilvl="6" w:tplc="040E000F" w:tentative="1">
      <w:start w:val="1"/>
      <w:numFmt w:val="decimal"/>
      <w:lvlText w:val="%7."/>
      <w:lvlJc w:val="left"/>
      <w:pPr>
        <w:ind w:left="4743" w:hanging="360"/>
      </w:pPr>
    </w:lvl>
    <w:lvl w:ilvl="7" w:tplc="040E0019" w:tentative="1">
      <w:start w:val="1"/>
      <w:numFmt w:val="lowerLetter"/>
      <w:lvlText w:val="%8."/>
      <w:lvlJc w:val="left"/>
      <w:pPr>
        <w:ind w:left="5463" w:hanging="360"/>
      </w:pPr>
    </w:lvl>
    <w:lvl w:ilvl="8" w:tplc="040E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21D76DA3"/>
    <w:multiLevelType w:val="hybridMultilevel"/>
    <w:tmpl w:val="967CAA00"/>
    <w:lvl w:ilvl="0" w:tplc="3C7E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72F7E"/>
    <w:multiLevelType w:val="hybridMultilevel"/>
    <w:tmpl w:val="6E784D9E"/>
    <w:lvl w:ilvl="0" w:tplc="3C7E31AA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3C7E31AA">
      <w:start w:val="1"/>
      <w:numFmt w:val="bullet"/>
      <w:lvlText w:val=""/>
      <w:lvlJc w:val="left"/>
      <w:pPr>
        <w:ind w:left="1616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525B38DE"/>
    <w:multiLevelType w:val="hybridMultilevel"/>
    <w:tmpl w:val="BCAA6F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B6F5C"/>
    <w:multiLevelType w:val="hybridMultilevel"/>
    <w:tmpl w:val="B75233E8"/>
    <w:lvl w:ilvl="0" w:tplc="3C7E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032FE"/>
    <w:multiLevelType w:val="hybridMultilevel"/>
    <w:tmpl w:val="DD3CEF00"/>
    <w:lvl w:ilvl="0" w:tplc="3C7E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7E31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C6246"/>
    <w:multiLevelType w:val="hybridMultilevel"/>
    <w:tmpl w:val="8B0262A6"/>
    <w:lvl w:ilvl="0" w:tplc="3C7E31AA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D91A4BA2">
      <w:numFmt w:val="bullet"/>
      <w:lvlText w:val="-"/>
      <w:lvlJc w:val="left"/>
      <w:pPr>
        <w:ind w:left="1616" w:hanging="360"/>
      </w:pPr>
      <w:rPr>
        <w:rFonts w:ascii="Times New Roman" w:eastAsia="Times New Roman" w:hAnsi="Times New Roman" w:cs="Times New Roman" w:hint="default"/>
        <w:sz w:val="22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704A10BA"/>
    <w:multiLevelType w:val="hybridMultilevel"/>
    <w:tmpl w:val="A58452B8"/>
    <w:lvl w:ilvl="0" w:tplc="3C7E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4A"/>
    <w:rsid w:val="000C779E"/>
    <w:rsid w:val="0058704A"/>
    <w:rsid w:val="0070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5333"/>
  <w15:chartTrackingRefBased/>
  <w15:docId w15:val="{286FD898-B3AD-49A7-B74D-5206F607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70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player.hu/376831-Hiperaktivitas-es-figyelemzavar-tajekoztato-szulok-resze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 Judit Anna</dc:creator>
  <cp:keywords/>
  <dc:description/>
  <cp:lastModifiedBy>Mayer Judit Anna</cp:lastModifiedBy>
  <cp:revision>2</cp:revision>
  <dcterms:created xsi:type="dcterms:W3CDTF">2020-10-07T09:26:00Z</dcterms:created>
  <dcterms:modified xsi:type="dcterms:W3CDTF">2020-10-07T14:25:00Z</dcterms:modified>
</cp:coreProperties>
</file>