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0"/>
        <w:gridCol w:w="1912"/>
      </w:tblGrid>
      <w:tr w:rsidR="00867F9C" w:rsidRPr="00A716A1" w:rsidTr="008C0804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Bookman Old Style"/>
                <w:b/>
                <w:i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A716A1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A716A1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A716A1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A716A1">
              <w:rPr>
                <w:rFonts w:ascii="Times New Roman" w:eastAsia="Calibri" w:hAnsi="Times New Roman" w:cs="Times New Roman"/>
                <w:color w:val="000000"/>
              </w:rPr>
              <w:t>BT-PSZ-5800</w:t>
            </w:r>
            <w:r w:rsidRPr="00A716A1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proofErr w:type="gramStart"/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</w:t>
            </w:r>
            <w:proofErr w:type="gramEnd"/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gyermekjóléti alapellátás rendszere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2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A716A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A716A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3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A716A1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/ egyéb)</w:t>
            </w:r>
            <w:proofErr w:type="gramStart"/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A716A1">
              <w:rPr>
                <w:rFonts w:ascii="Times New Roman" w:eastAsia="Times New Roman" w:hAnsi="Times New Roman" w:cs="Times New Roman"/>
                <w:b/>
                <w:color w:val="FF0000"/>
                <w:lang w:eastAsia="hu-HU"/>
              </w:rPr>
              <w:t>???</w:t>
            </w:r>
            <w:proofErr w:type="gramEnd"/>
          </w:p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A716A1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1II.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867F9C" w:rsidRPr="00A716A1" w:rsidTr="008C080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, hogy a hallgató megismerje a gyermekjóléti alapellátás funkciót, rendszerét, az alapellátást nyújtó intézményeket, azok működését. Szerezzen ismereteket az alapellátás központi szerepet betöltő szolgáltatásáról, a gyermekjóléti szolgáltatásról. Ismerje meg a család és gyermekjóléti </w:t>
            </w:r>
            <w:proofErr w:type="gramStart"/>
            <w:r w:rsidRPr="00A716A1">
              <w:rPr>
                <w:rFonts w:ascii="Times New Roman" w:eastAsia="Calibri" w:hAnsi="Times New Roman" w:cs="Times New Roman"/>
                <w:color w:val="000000"/>
              </w:rPr>
              <w:t>szolgálat</w:t>
            </w:r>
            <w:proofErr w:type="gram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ill. a család és gyermekjóléti központ feladatait, kapcsolataikat a köznevelési intézményrendszerrel. Legyen tisztában a gyermekjóléti szolgálat és gyermekvédelmi jelzőrendszer kapcsolatával, a gyermekjóléti szolgálat </w:t>
            </w:r>
            <w:proofErr w:type="gramStart"/>
            <w:r w:rsidRPr="00A716A1">
              <w:rPr>
                <w:rFonts w:ascii="Times New Roman" w:eastAsia="Calibri" w:hAnsi="Times New Roman" w:cs="Times New Roman"/>
                <w:color w:val="000000"/>
              </w:rPr>
              <w:t>ezzel</w:t>
            </w:r>
            <w:proofErr w:type="gram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kapcsolatos feladataival.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color w:val="000000"/>
              </w:rPr>
              <w:t xml:space="preserve">Főbb tematikai csomópontok: </w:t>
            </w:r>
          </w:p>
          <w:p w:rsidR="00867F9C" w:rsidRPr="00A716A1" w:rsidRDefault="00867F9C" w:rsidP="00867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A gyermekjóléti alapellátások helye, szerepe a szociális ellátások és ezen belül a gyermek- és ifjúságvédelem körében. </w:t>
            </w:r>
          </w:p>
          <w:p w:rsidR="00867F9C" w:rsidRPr="00A716A1" w:rsidRDefault="00867F9C" w:rsidP="00867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A gyermekjóléti alapellátások típusai: gyermekjóléti szolgáltatás; gyermekek napközbeni ellátásai; gyermekek átmeneti gondozása; gyermekek esélynövelő szolgáltatásai: Biztos Kezdet Gyerekház, Tanoda. </w:t>
            </w:r>
          </w:p>
          <w:p w:rsidR="00867F9C" w:rsidRPr="00A716A1" w:rsidRDefault="00867F9C" w:rsidP="00867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A család és gyermekjóléti szolgálat és a család és gyermekjóléti központ részletes feladatai, szolgáltatáscsoportjai. </w:t>
            </w:r>
          </w:p>
          <w:p w:rsidR="00867F9C" w:rsidRPr="00A716A1" w:rsidRDefault="00867F9C" w:rsidP="00867F9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A gyermekjóléti alapellátás kapcsolatrendszere: gyámhatóságok, gyermekvédelmi szakellátás 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7F9C" w:rsidRPr="00A716A1" w:rsidRDefault="00867F9C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A716A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867F9C" w:rsidRPr="00A716A1" w:rsidRDefault="00867F9C" w:rsidP="00867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Gál Antal: Gondolatok a 20 éves gyermekjóléti szolgáltatásról in Lakner Z és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mtsai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>): „</w:t>
            </w:r>
            <w:proofErr w:type="gramStart"/>
            <w:r w:rsidRPr="00A716A1">
              <w:rPr>
                <w:rFonts w:ascii="Times New Roman" w:eastAsia="Calibri" w:hAnsi="Times New Roman" w:cs="Times New Roman"/>
                <w:color w:val="000000"/>
              </w:rPr>
              <w:t>…Nem</w:t>
            </w:r>
            <w:proofErr w:type="gram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csak szív kell, de kell tudás is” Szemle Könyvek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Szoszak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, Budapest, 2017. 76-98. </w:t>
            </w:r>
          </w:p>
          <w:p w:rsidR="00867F9C" w:rsidRPr="00A716A1" w:rsidRDefault="00867F9C" w:rsidP="00867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>Farkas Ágnes: Átmeneti gondozás in Rácz Andrea (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): A gyermekvédelem megújulási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alternativái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Gyermek- és Ifjúságvédelmi Tanulmányok V.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Rubeus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Egyesület, Budapest 2015. 97-121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FF"/>
              </w:rPr>
            </w:pPr>
            <w:r w:rsidRPr="00A716A1">
              <w:rPr>
                <w:rFonts w:ascii="Times New Roman" w:eastAsia="Calibri" w:hAnsi="Times New Roman" w:cs="Times New Roman"/>
                <w:color w:val="0000FF"/>
              </w:rPr>
              <w:t xml:space="preserve">http://rubeus.hu/wp-content/uploads/2015/08/gyermek_es_ifjusagvedelmi_tanulmanyok_otodik_kotet.pdf </w:t>
            </w:r>
          </w:p>
          <w:p w:rsidR="00867F9C" w:rsidRPr="00A716A1" w:rsidRDefault="00867F9C" w:rsidP="00867F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FF"/>
              </w:rPr>
            </w:pP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Korintus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Mihályné és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mtsai</w:t>
            </w:r>
            <w:proofErr w:type="spellEnd"/>
            <w:proofErr w:type="gramStart"/>
            <w:r w:rsidRPr="00A716A1">
              <w:rPr>
                <w:rFonts w:ascii="Times New Roman" w:eastAsia="Calibri" w:hAnsi="Times New Roman" w:cs="Times New Roman"/>
                <w:color w:val="000000"/>
              </w:rPr>
              <w:t>.:</w:t>
            </w:r>
            <w:proofErr w:type="gram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Napközbeni gyermekellátás és gyermekétkeztetés in Rácz Andrea (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): A gyermekvédelem megújulási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alternativái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Gyermek- és Ifjúságvédelmi Tanulmányok V. 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Rubeus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Egyesület, Budapest 2015. 97-121 </w:t>
            </w:r>
            <w:r w:rsidRPr="00A716A1">
              <w:rPr>
                <w:rFonts w:ascii="Times New Roman" w:eastAsia="Calibri" w:hAnsi="Times New Roman" w:cs="Times New Roman"/>
                <w:color w:val="000000"/>
              </w:rPr>
              <w:br/>
            </w:r>
            <w:r w:rsidRPr="00A716A1">
              <w:rPr>
                <w:rFonts w:ascii="Times New Roman" w:eastAsia="Calibri" w:hAnsi="Times New Roman" w:cs="Times New Roman"/>
                <w:color w:val="0000FF"/>
              </w:rPr>
              <w:t xml:space="preserve">http://rubeus.hu/wp-content/uploads/2015/08/gyermek_es_ifjusagvedelmi_tanulmanyok_otodik_kotet.pdf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color w:val="000000"/>
              </w:rPr>
              <w:t>Ajánlott irodalom:</w:t>
            </w:r>
          </w:p>
          <w:p w:rsidR="00867F9C" w:rsidRPr="00A716A1" w:rsidRDefault="00867F9C" w:rsidP="00867F9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Bányai Emőke: Szempontok és javaslatok az </w:t>
            </w:r>
            <w:proofErr w:type="gramStart"/>
            <w:r w:rsidRPr="00A716A1">
              <w:rPr>
                <w:rFonts w:ascii="Times New Roman" w:eastAsia="Calibri" w:hAnsi="Times New Roman" w:cs="Times New Roman"/>
                <w:color w:val="000000"/>
              </w:rPr>
              <w:t>intenzív</w:t>
            </w:r>
            <w:proofErr w:type="gramEnd"/>
            <w:r w:rsidRPr="00A716A1">
              <w:rPr>
                <w:rFonts w:ascii="Times New Roman" w:eastAsia="Calibri" w:hAnsi="Times New Roman" w:cs="Times New Roman"/>
                <w:color w:val="000000"/>
              </w:rPr>
              <w:t xml:space="preserve"> családmegtartó szolgáltatások gyermekjóléti munkába való bevezetéséhez in Rácz Andrea (</w:t>
            </w:r>
            <w:proofErr w:type="spellStart"/>
            <w:r w:rsidRPr="00A716A1">
              <w:rPr>
                <w:rFonts w:ascii="Times New Roman" w:eastAsia="Calibri" w:hAnsi="Times New Roman" w:cs="Times New Roman"/>
                <w:color w:val="000000"/>
              </w:rPr>
              <w:t>szerk</w:t>
            </w:r>
            <w:proofErr w:type="spellEnd"/>
            <w:r w:rsidRPr="00A716A1">
              <w:rPr>
                <w:rFonts w:ascii="Times New Roman" w:eastAsia="Calibri" w:hAnsi="Times New Roman" w:cs="Times New Roman"/>
                <w:color w:val="000000"/>
              </w:rPr>
              <w:t>): Szülői kompetenciafejlesztést célzó modellprogramok a gyermekjóléti szolgáltatások tárházában</w:t>
            </w:r>
            <w:r w:rsidRPr="00A716A1">
              <w:rPr>
                <w:rFonts w:ascii="Bookman Old Style" w:eastAsia="Calibri" w:hAnsi="Bookman Old Style" w:cs="Bookman Old Style"/>
                <w:color w:val="000000"/>
              </w:rPr>
              <w:t>.</w:t>
            </w:r>
          </w:p>
          <w:p w:rsidR="00867F9C" w:rsidRPr="00A716A1" w:rsidRDefault="00867F9C" w:rsidP="00867F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Gyermek- és Ifjúságvédelmi Tanulmányok VIII. </w:t>
            </w: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Rubeus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Egyesület, Budapest, 2018. 6-21.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lastRenderedPageBreak/>
              <w:t xml:space="preserve">http://rubeus.hu/wp-content/uploads/2015/08/szuloi_kompetenciafejlesztes_rubeus_20180919.pdf </w:t>
            </w:r>
          </w:p>
          <w:p w:rsidR="00867F9C" w:rsidRPr="00A716A1" w:rsidRDefault="00867F9C" w:rsidP="00867F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Freisinger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Balázs-Rácz Andrea: Fókuszban a gyermekjóléti szakmai innovációk in Rácz Andrea (</w:t>
            </w: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szerk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): Szülői kompetenciafejlesztést célzó modellprogramok a gyermekjóléti szolgáltatások tárházában Gyermek- és Ifjúságvédelmi Tanulmányok VIII. </w:t>
            </w: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Rubeus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Egyesület, Budapest, 2018. 277-308.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 xml:space="preserve">http://rubeus.hu/wp-content/uploads/2015/08/szuloi_kompetenciafejlesztes_rubeus_20180919.pdf </w:t>
            </w:r>
          </w:p>
          <w:p w:rsidR="00867F9C" w:rsidRPr="00A716A1" w:rsidRDefault="00867F9C" w:rsidP="00867F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gyermekvédelmi észlelő- és jelzőrendszer működtetése kapcsán a gyermek bántalmazásának felismerésére és megszüntetésére irányuló szektorsemleges egységes elvek és módszertan EMMI, Budapest 2017. augusztus </w:t>
            </w:r>
            <w:r w:rsidRPr="00A716A1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 xml:space="preserve">http://www.macsgyoe.hu/downloads/szakmai_anyagok/modszertaniutmutatobantalmazas.pdf </w:t>
            </w:r>
          </w:p>
          <w:p w:rsidR="00867F9C" w:rsidRPr="00A716A1" w:rsidRDefault="00867F9C" w:rsidP="00867F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Freisinger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Balázs és </w:t>
            </w: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mtsai</w:t>
            </w:r>
            <w:proofErr w:type="spellEnd"/>
            <w:proofErr w:type="gram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.:</w:t>
            </w:r>
            <w:proofErr w:type="gram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Gyermekjóléti szolgálatok feladatellátásának értékelő elemzése in Rácz Andrea (</w:t>
            </w: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szerk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): A gyermekjóléti szolgálatok feladatellátásának értékelő elemzése országos szinten - Műhelytanulmány </w:t>
            </w:r>
            <w:proofErr w:type="spell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Rubeus</w:t>
            </w:r>
            <w:proofErr w:type="spell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Egyesület, Budapest 2015 45-141.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>http://rubeus.hu/wp-content/uploads/2015/07/a-gyermekjoleti-szolgalatok-feladatellatasanak-ertekelo-elemzese-orszagos-szinten</w:t>
            </w:r>
            <w:proofErr w:type="gramStart"/>
            <w:r w:rsidRPr="00A716A1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>.pdf</w:t>
            </w:r>
            <w:proofErr w:type="gramEnd"/>
            <w:r w:rsidRPr="00A716A1">
              <w:rPr>
                <w:rFonts w:ascii="Times New Roman" w:eastAsia="Calibri" w:hAnsi="Times New Roman" w:cs="Times New Roman"/>
                <w:bCs/>
                <w:color w:val="000000"/>
                <w:u w:val="single"/>
              </w:rPr>
              <w:t xml:space="preserve"> </w:t>
            </w:r>
          </w:p>
          <w:p w:rsidR="00867F9C" w:rsidRPr="00A716A1" w:rsidRDefault="00867F9C" w:rsidP="00867F9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Család, Gyermek, Ifjúság; Szociálpolitikai Szemle, Kapocs folyóiratok vonatkozó tanulmányai.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Jogszabályok: </w:t>
            </w:r>
          </w:p>
          <w:p w:rsidR="00867F9C" w:rsidRPr="00A716A1" w:rsidRDefault="00867F9C" w:rsidP="00867F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 w:hanging="359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1997. évi XXXI. törvény a gyermekek védelméről és a gyámügyi igazgatásról </w:t>
            </w:r>
          </w:p>
          <w:p w:rsidR="00867F9C" w:rsidRPr="00A716A1" w:rsidRDefault="00867F9C" w:rsidP="00867F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 w:hanging="359"/>
              <w:rPr>
                <w:rFonts w:ascii="Times New Roman" w:eastAsia="Calibri" w:hAnsi="Times New Roman" w:cs="Times New Roman"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15/1998. (IV.30.) NM rendelet a személyes gondoskodást nyújtó gyermekjóléti és gyermekvédelmi intézmények, valamint személyek szakmai feladatairól és működésük feltételeiről</w:t>
            </w:r>
          </w:p>
        </w:tc>
      </w:tr>
      <w:tr w:rsidR="00867F9C" w:rsidRPr="00A716A1" w:rsidTr="008C0804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Azoknak az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A716A1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A716A1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867F9C" w:rsidRPr="00A716A1" w:rsidTr="008C080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867F9C" w:rsidRPr="00A716A1" w:rsidRDefault="00867F9C" w:rsidP="00867F9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hallgató ismeri a gyermekjóléti alapellátás </w:t>
            </w:r>
            <w:proofErr w:type="gram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funkcióit</w:t>
            </w:r>
            <w:proofErr w:type="gram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rendszerét és intézménytípusait. Megismeri a gyermekjóléti szolgáltatás célját, tartalmát, a szolgáltatást nyújtó kétféle intézményt, az ott elérhető szolgáltatásokat.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867F9C" w:rsidRPr="00A716A1" w:rsidRDefault="00867F9C" w:rsidP="00867F9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A hallgató képes a gyermekjóléti alapellátás intézményeiről, az ott elérhető szolgáltatásokról, segítségnyújtási lehetőségekről tájékoztatni a hozzá forduló óvodai és iskolai munkatársakat, valamint a köznevelési intézményben tanuló gyermekek szüleit és magukat a gyermekeket. Képes a </w:t>
            </w:r>
            <w:proofErr w:type="gramStart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>konstruktív</w:t>
            </w:r>
            <w:proofErr w:type="gramEnd"/>
            <w:r w:rsidRPr="00A716A1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együttműködésre az alapellátó intézmények, így különösen a család és gyermekjóléti szolgálatok munkatársaival. </w:t>
            </w:r>
          </w:p>
          <w:p w:rsidR="00867F9C" w:rsidRPr="00A716A1" w:rsidRDefault="00867F9C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716A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867F9C" w:rsidRPr="00A716A1" w:rsidRDefault="00867F9C" w:rsidP="00867F9C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ind w:left="488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A716A1">
              <w:rPr>
                <w:rFonts w:ascii="Times New Roman" w:eastAsia="Times New Roman" w:hAnsi="Times New Roman" w:cs="Times New Roman"/>
                <w:bCs/>
                <w:lang w:eastAsia="hu-HU"/>
              </w:rPr>
              <w:t>Nyitott a gyermekjóléti intézményekkel való együttműködésre</w:t>
            </w:r>
          </w:p>
        </w:tc>
      </w:tr>
      <w:tr w:rsidR="00867F9C" w:rsidRPr="00A716A1" w:rsidTr="008C080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867F9C" w:rsidRPr="00A716A1" w:rsidTr="008C0804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67F9C" w:rsidRPr="00A716A1" w:rsidRDefault="00867F9C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A716A1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A716A1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A716A1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A716A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Csókay</w:t>
            </w:r>
            <w:proofErr w:type="spellEnd"/>
            <w:r w:rsidRPr="00A716A1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László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EC6"/>
    <w:multiLevelType w:val="hybridMultilevel"/>
    <w:tmpl w:val="39305C3E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2AD9"/>
    <w:multiLevelType w:val="hybridMultilevel"/>
    <w:tmpl w:val="24F6758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72FF"/>
    <w:multiLevelType w:val="hybridMultilevel"/>
    <w:tmpl w:val="36AEFD38"/>
    <w:lvl w:ilvl="0" w:tplc="E3388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04FB"/>
    <w:multiLevelType w:val="hybridMultilevel"/>
    <w:tmpl w:val="86585224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02CE"/>
    <w:multiLevelType w:val="hybridMultilevel"/>
    <w:tmpl w:val="71C4EA60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4783"/>
    <w:multiLevelType w:val="hybridMultilevel"/>
    <w:tmpl w:val="514EB2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33793"/>
    <w:multiLevelType w:val="hybridMultilevel"/>
    <w:tmpl w:val="886ADECC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42D24"/>
    <w:multiLevelType w:val="hybridMultilevel"/>
    <w:tmpl w:val="182EDEE6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C"/>
    <w:rsid w:val="000C779E"/>
    <w:rsid w:val="008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93D3-8671-4B1D-A13E-65CFA959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F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1</cp:revision>
  <dcterms:created xsi:type="dcterms:W3CDTF">2020-10-07T06:57:00Z</dcterms:created>
  <dcterms:modified xsi:type="dcterms:W3CDTF">2020-10-07T06:58:00Z</dcterms:modified>
</cp:coreProperties>
</file>