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2E" w:rsidRPr="00B47DEB" w:rsidRDefault="006B6B2E" w:rsidP="006B6B2E">
      <w:pPr>
        <w:suppressAutoHyphens/>
        <w:rPr>
          <w:sz w:val="12"/>
          <w:szCs w:val="1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09"/>
      </w:tblGrid>
      <w:tr w:rsidR="006B6B2E" w:rsidRPr="00B47DEB" w:rsidTr="006B4AC2">
        <w:tc>
          <w:tcPr>
            <w:tcW w:w="7088" w:type="dxa"/>
            <w:tcBorders>
              <w:top w:val="single" w:sz="4" w:space="0" w:color="auto"/>
              <w:left w:val="single" w:sz="4" w:space="0" w:color="auto"/>
            </w:tcBorders>
            <w:shd w:val="clear" w:color="auto" w:fill="auto"/>
            <w:tcMar>
              <w:top w:w="57" w:type="dxa"/>
              <w:bottom w:w="57" w:type="dxa"/>
            </w:tcMar>
          </w:tcPr>
          <w:p w:rsidR="006B6B2E" w:rsidRPr="00B47DEB" w:rsidRDefault="006B6B2E" w:rsidP="006B4AC2">
            <w:pPr>
              <w:suppressAutoHyphens/>
              <w:jc w:val="both"/>
              <w:rPr>
                <w:i/>
                <w:sz w:val="22"/>
                <w:szCs w:val="22"/>
              </w:rPr>
            </w:pPr>
            <w:r w:rsidRPr="00B47DEB">
              <w:rPr>
                <w:sz w:val="22"/>
              </w:rPr>
              <w:t xml:space="preserve">Title of the subject: </w:t>
            </w:r>
            <w:r w:rsidR="007A7D86">
              <w:rPr>
                <w:b/>
                <w:sz w:val="22"/>
                <w:szCs w:val="22"/>
              </w:rPr>
              <w:t>Modern Irish fiction and film</w:t>
            </w:r>
          </w:p>
        </w:tc>
        <w:tc>
          <w:tcPr>
            <w:tcW w:w="2409" w:type="dxa"/>
            <w:tcBorders>
              <w:top w:val="single" w:sz="4" w:space="0" w:color="auto"/>
              <w:right w:val="single" w:sz="4" w:space="0" w:color="auto"/>
            </w:tcBorders>
            <w:shd w:val="clear" w:color="auto" w:fill="auto"/>
            <w:tcMar>
              <w:top w:w="57" w:type="dxa"/>
              <w:bottom w:w="57" w:type="dxa"/>
            </w:tcMar>
          </w:tcPr>
          <w:p w:rsidR="006B6B2E" w:rsidRPr="00B47DEB" w:rsidRDefault="006B6B2E" w:rsidP="007A7D86">
            <w:pPr>
              <w:suppressAutoHyphens/>
              <w:spacing w:before="60"/>
              <w:jc w:val="both"/>
              <w:rPr>
                <w:sz w:val="22"/>
                <w:szCs w:val="22"/>
              </w:rPr>
            </w:pPr>
            <w:r w:rsidRPr="00B47DEB">
              <w:rPr>
                <w:sz w:val="22"/>
              </w:rPr>
              <w:t xml:space="preserve">Credit value: </w:t>
            </w:r>
            <w:r w:rsidR="007A7D86">
              <w:rPr>
                <w:b/>
                <w:sz w:val="22"/>
              </w:rPr>
              <w:t>4</w:t>
            </w:r>
          </w:p>
        </w:tc>
      </w:tr>
      <w:tr w:rsidR="006B6B2E" w:rsidRPr="00B47DEB"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7A7D86">
            <w:pPr>
              <w:suppressAutoHyphens/>
              <w:spacing w:before="60"/>
              <w:jc w:val="both"/>
              <w:rPr>
                <w:sz w:val="22"/>
                <w:szCs w:val="22"/>
              </w:rPr>
            </w:pPr>
            <w:r w:rsidRPr="00B47DEB">
              <w:rPr>
                <w:sz w:val="22"/>
              </w:rPr>
              <w:t>Category of the subject</w:t>
            </w:r>
            <w:r w:rsidRPr="008C48C7">
              <w:rPr>
                <w:b/>
                <w:sz w:val="22"/>
              </w:rPr>
              <w:t>: optional</w:t>
            </w:r>
            <w:r w:rsidRPr="00B47DEB">
              <w:rPr>
                <w:sz w:val="22"/>
              </w:rPr>
              <w:t xml:space="preserve"> </w:t>
            </w:r>
            <w:r w:rsidRPr="00B47DEB">
              <w:rPr>
                <w:i/>
              </w:rPr>
              <w:t>(strike out as appropriate!)</w:t>
            </w:r>
          </w:p>
        </w:tc>
      </w:tr>
      <w:tr w:rsidR="006B6B2E" w:rsidRPr="00B47DEB" w:rsidTr="006B4AC2">
        <w:tc>
          <w:tcPr>
            <w:tcW w:w="94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B457B2">
            <w:pPr>
              <w:suppressAutoHyphens/>
              <w:spacing w:before="40" w:after="40"/>
              <w:jc w:val="both"/>
              <w:rPr>
                <w:sz w:val="22"/>
                <w:szCs w:val="22"/>
              </w:rPr>
            </w:pPr>
            <w:r w:rsidRPr="00B47DEB">
              <w:rPr>
                <w:sz w:val="22"/>
              </w:rPr>
              <w:t>Extent of the theoretical or practical nature of the subject, "</w:t>
            </w:r>
            <w:r w:rsidRPr="00B47DEB">
              <w:rPr>
                <w:i/>
                <w:sz w:val="22"/>
              </w:rPr>
              <w:t>educational character</w:t>
            </w:r>
            <w:r w:rsidRPr="00B47DEB">
              <w:rPr>
                <w:sz w:val="22"/>
              </w:rPr>
              <w:t>"</w:t>
            </w:r>
            <w:r w:rsidRPr="00B47DEB">
              <w:rPr>
                <w:rStyle w:val="Lbjegyzet-hivatkozs"/>
                <w:sz w:val="22"/>
              </w:rPr>
              <w:footnoteReference w:id="1"/>
            </w:r>
            <w:r w:rsidRPr="00B47DEB">
              <w:rPr>
                <w:sz w:val="22"/>
              </w:rPr>
              <w:t>:</w:t>
            </w:r>
            <w:r w:rsidR="00B457B2">
              <w:rPr>
                <w:b/>
                <w:sz w:val="22"/>
              </w:rPr>
              <w:t>100%</w:t>
            </w:r>
            <w:r w:rsidRPr="00B47DEB">
              <w:rPr>
                <w:sz w:val="22"/>
              </w:rPr>
              <w:t xml:space="preserve"> </w:t>
            </w:r>
            <w:r w:rsidR="007A7D86" w:rsidRPr="007A7D86">
              <w:rPr>
                <w:b/>
                <w:sz w:val="22"/>
              </w:rPr>
              <w:t>seminar</w:t>
            </w:r>
            <w:r w:rsidR="007A7D86">
              <w:rPr>
                <w:sz w:val="22"/>
              </w:rPr>
              <w:t xml:space="preserve"> </w:t>
            </w:r>
            <w:r w:rsidRPr="00B47DEB">
              <w:rPr>
                <w:sz w:val="22"/>
              </w:rPr>
              <w:t>(credit%)</w:t>
            </w:r>
          </w:p>
        </w:tc>
      </w:tr>
      <w:tr w:rsidR="006B6B2E" w:rsidRPr="00B47DEB" w:rsidTr="006B4AC2">
        <w:tc>
          <w:tcPr>
            <w:tcW w:w="9497" w:type="dxa"/>
            <w:gridSpan w:val="2"/>
            <w:tcBorders>
              <w:top w:val="single" w:sz="4" w:space="0" w:color="auto"/>
              <w:left w:val="single" w:sz="4" w:space="0" w:color="auto"/>
              <w:right w:val="single" w:sz="4" w:space="0" w:color="auto"/>
            </w:tcBorders>
            <w:shd w:val="clear" w:color="auto" w:fill="auto"/>
            <w:tcMar>
              <w:top w:w="57" w:type="dxa"/>
              <w:bottom w:w="57" w:type="dxa"/>
            </w:tcMar>
          </w:tcPr>
          <w:p w:rsidR="006B6B2E" w:rsidRPr="00B47DEB" w:rsidRDefault="006B6B2E" w:rsidP="006B4AC2">
            <w:pPr>
              <w:suppressAutoHyphens/>
              <w:spacing w:before="60"/>
              <w:jc w:val="both"/>
              <w:rPr>
                <w:sz w:val="22"/>
                <w:szCs w:val="22"/>
              </w:rPr>
            </w:pPr>
            <w:r w:rsidRPr="00B47DEB">
              <w:rPr>
                <w:sz w:val="22"/>
              </w:rPr>
              <w:t xml:space="preserve">Type of the class: </w:t>
            </w:r>
            <w:r w:rsidRPr="005C71EF">
              <w:rPr>
                <w:b/>
                <w:sz w:val="22"/>
              </w:rPr>
              <w:t xml:space="preserve">sem. </w:t>
            </w:r>
            <w:r w:rsidRPr="00B47DEB">
              <w:rPr>
                <w:sz w:val="22"/>
              </w:rPr>
              <w:t xml:space="preserve">and number of classes: </w:t>
            </w:r>
            <w:r w:rsidR="005C71EF">
              <w:rPr>
                <w:b/>
                <w:sz w:val="22"/>
              </w:rPr>
              <w:t>26</w:t>
            </w:r>
            <w:r w:rsidRPr="00B47DEB">
              <w:rPr>
                <w:sz w:val="22"/>
              </w:rPr>
              <w:t xml:space="preserve"> in the given semester,</w:t>
            </w:r>
          </w:p>
          <w:p w:rsidR="006B6B2E" w:rsidRPr="00B47DEB" w:rsidRDefault="006B6B2E" w:rsidP="006B4AC2">
            <w:pPr>
              <w:suppressAutoHyphens/>
              <w:spacing w:before="60"/>
              <w:jc w:val="both"/>
              <w:rPr>
                <w:sz w:val="22"/>
                <w:szCs w:val="22"/>
              </w:rPr>
            </w:pPr>
            <w:r w:rsidRPr="00B47DEB">
              <w:rPr>
                <w:sz w:val="22"/>
              </w:rPr>
              <w:t>(</w:t>
            </w:r>
            <w:r w:rsidRPr="00B47DEB">
              <w:rPr>
                <w:i/>
                <w:sz w:val="22"/>
              </w:rPr>
              <w:t>if the subject is (partially) taught in any language other than Hungarian, then the language</w:t>
            </w:r>
            <w:r w:rsidRPr="00B47DEB">
              <w:rPr>
                <w:sz w:val="22"/>
              </w:rPr>
              <w:t>:</w:t>
            </w:r>
            <w:r w:rsidRPr="00B47DEB">
              <w:rPr>
                <w:i/>
                <w:sz w:val="22"/>
              </w:rPr>
              <w:t xml:space="preserve"> </w:t>
            </w:r>
            <w:r w:rsidR="00805539">
              <w:rPr>
                <w:i/>
                <w:sz w:val="22"/>
              </w:rPr>
              <w:t>English</w:t>
            </w:r>
            <w:r w:rsidRPr="00B47DEB">
              <w:rPr>
                <w:i/>
                <w:sz w:val="22"/>
              </w:rPr>
              <w:t>)</w:t>
            </w:r>
          </w:p>
          <w:p w:rsidR="006B6B2E" w:rsidRPr="00B47DEB" w:rsidRDefault="006B6B2E" w:rsidP="006B4AC2">
            <w:pPr>
              <w:suppressAutoHyphens/>
              <w:spacing w:before="60"/>
              <w:jc w:val="both"/>
              <w:rPr>
                <w:sz w:val="22"/>
                <w:szCs w:val="22"/>
              </w:rPr>
            </w:pPr>
            <w:r w:rsidRPr="00B47DEB">
              <w:rPr>
                <w:sz w:val="22"/>
              </w:rPr>
              <w:t>Further (</w:t>
            </w:r>
            <w:r w:rsidRPr="00B47DEB">
              <w:rPr>
                <w:i/>
                <w:sz w:val="21"/>
              </w:rPr>
              <w:t>specific</w:t>
            </w:r>
            <w:r w:rsidRPr="00B47DEB">
              <w:rPr>
                <w:sz w:val="22"/>
              </w:rPr>
              <w:t>) forms, characteristics</w:t>
            </w:r>
            <w:r w:rsidRPr="00B47DEB">
              <w:rPr>
                <w:rStyle w:val="Lbjegyzet-hivatkozs"/>
                <w:sz w:val="22"/>
              </w:rPr>
              <w:footnoteReference w:id="2"/>
            </w:r>
            <w:r w:rsidRPr="00B47DEB">
              <w:rPr>
                <w:sz w:val="22"/>
              </w:rPr>
              <w:t xml:space="preserve"> of the transfer of the given knowledge</w:t>
            </w:r>
            <w:r>
              <w:rPr>
                <w:sz w:val="22"/>
              </w:rPr>
              <w:t xml:space="preserve"> </w:t>
            </w:r>
            <w:r w:rsidRPr="00B47DEB">
              <w:rPr>
                <w:i/>
                <w:sz w:val="21"/>
              </w:rPr>
              <w:t>(if any)</w:t>
            </w:r>
            <w:r w:rsidRPr="00B47DEB">
              <w:rPr>
                <w:sz w:val="22"/>
              </w:rPr>
              <w:t xml:space="preserve">: </w:t>
            </w:r>
            <w:r w:rsidRPr="008C48C7">
              <w:rPr>
                <w:sz w:val="22"/>
                <w:highlight w:val="yellow"/>
              </w:rPr>
              <w:t>………………………..</w:t>
            </w:r>
          </w:p>
        </w:tc>
      </w:tr>
      <w:tr w:rsidR="006B6B2E" w:rsidRPr="00B47DEB" w:rsidTr="006B4AC2">
        <w:tc>
          <w:tcPr>
            <w:tcW w:w="9497" w:type="dxa"/>
            <w:gridSpan w:val="2"/>
            <w:tcBorders>
              <w:left w:val="single" w:sz="4" w:space="0" w:color="auto"/>
              <w:right w:val="single" w:sz="4" w:space="0" w:color="auto"/>
            </w:tcBorders>
            <w:shd w:val="clear" w:color="auto" w:fill="auto"/>
            <w:tcMar>
              <w:top w:w="57" w:type="dxa"/>
              <w:bottom w:w="57" w:type="dxa"/>
            </w:tcMar>
          </w:tcPr>
          <w:p w:rsidR="006B6B2E" w:rsidRPr="00B47DEB" w:rsidRDefault="006B6B2E" w:rsidP="006B4AC2">
            <w:pPr>
              <w:suppressAutoHyphens/>
              <w:spacing w:before="60"/>
              <w:jc w:val="both"/>
              <w:rPr>
                <w:sz w:val="22"/>
                <w:szCs w:val="22"/>
              </w:rPr>
            </w:pPr>
            <w:r w:rsidRPr="00B47DEB">
              <w:rPr>
                <w:sz w:val="22"/>
              </w:rPr>
              <w:t xml:space="preserve">Form of testing (exam / pract. mark / other): </w:t>
            </w:r>
            <w:r w:rsidR="007A7D86">
              <w:rPr>
                <w:b/>
                <w:sz w:val="22"/>
              </w:rPr>
              <w:t>practical mark</w:t>
            </w:r>
          </w:p>
          <w:p w:rsidR="006B6B2E" w:rsidRPr="00B47DEB" w:rsidRDefault="006B6B2E" w:rsidP="006B4AC2">
            <w:pPr>
              <w:suppressAutoHyphens/>
              <w:spacing w:before="60"/>
              <w:jc w:val="both"/>
              <w:rPr>
                <w:sz w:val="22"/>
                <w:szCs w:val="22"/>
              </w:rPr>
            </w:pPr>
            <w:r w:rsidRPr="00B47DEB">
              <w:rPr>
                <w:sz w:val="22"/>
              </w:rPr>
              <w:t>Further (</w:t>
            </w:r>
            <w:r w:rsidRPr="00B47DEB">
              <w:rPr>
                <w:i/>
                <w:sz w:val="21"/>
              </w:rPr>
              <w:t>specific</w:t>
            </w:r>
            <w:r w:rsidRPr="00B47DEB">
              <w:rPr>
                <w:sz w:val="22"/>
              </w:rPr>
              <w:t xml:space="preserve">) forms to be applied in </w:t>
            </w:r>
            <w:r w:rsidRPr="00B47DEB">
              <w:rPr>
                <w:rStyle w:val="Lbjegyzet-hivatkozs"/>
                <w:sz w:val="22"/>
              </w:rPr>
              <w:footnoteReference w:id="3"/>
            </w:r>
            <w:r w:rsidRPr="00B47DEB">
              <w:rPr>
                <w:sz w:val="22"/>
              </w:rPr>
              <w:t xml:space="preserve"> knowledge testing</w:t>
            </w:r>
            <w:r w:rsidRPr="00B47DEB">
              <w:rPr>
                <w:i/>
                <w:sz w:val="21"/>
              </w:rPr>
              <w:t>(if any)</w:t>
            </w:r>
            <w:r w:rsidRPr="00B47DEB">
              <w:rPr>
                <w:sz w:val="22"/>
              </w:rPr>
              <w:t xml:space="preserve">: </w:t>
            </w:r>
            <w:r w:rsidRPr="00536E8D">
              <w:rPr>
                <w:sz w:val="22"/>
                <w:highlight w:val="yellow"/>
              </w:rPr>
              <w:t>……………………..</w:t>
            </w:r>
          </w:p>
        </w:tc>
      </w:tr>
      <w:tr w:rsidR="006B6B2E" w:rsidRPr="00B47DEB"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7A7D86">
            <w:pPr>
              <w:suppressAutoHyphens/>
              <w:jc w:val="both"/>
              <w:rPr>
                <w:sz w:val="22"/>
                <w:szCs w:val="22"/>
              </w:rPr>
            </w:pPr>
            <w:r w:rsidRPr="00B47DEB">
              <w:rPr>
                <w:sz w:val="22"/>
              </w:rPr>
              <w:t xml:space="preserve">Position of the subject in the curriculum (number of the semester): </w:t>
            </w:r>
            <w:r w:rsidR="007A7D86">
              <w:rPr>
                <w:b/>
                <w:sz w:val="22"/>
              </w:rPr>
              <w:t>5</w:t>
            </w:r>
          </w:p>
        </w:tc>
      </w:tr>
      <w:tr w:rsidR="006B6B2E" w:rsidRPr="00B47DEB"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7A7D86">
            <w:pPr>
              <w:suppressAutoHyphens/>
              <w:jc w:val="both"/>
              <w:rPr>
                <w:sz w:val="22"/>
                <w:szCs w:val="22"/>
              </w:rPr>
            </w:pPr>
            <w:r w:rsidRPr="00B47DEB">
              <w:rPr>
                <w:sz w:val="22"/>
              </w:rPr>
              <w:t xml:space="preserve">Required preliminary studies </w:t>
            </w:r>
            <w:r w:rsidRPr="00B47DEB">
              <w:rPr>
                <w:i/>
                <w:sz w:val="22"/>
              </w:rPr>
              <w:t>(if any)</w:t>
            </w:r>
            <w:r w:rsidRPr="00B47DEB">
              <w:rPr>
                <w:sz w:val="22"/>
              </w:rPr>
              <w:t>:</w:t>
            </w:r>
            <w:r w:rsidRPr="00B47DEB">
              <w:rPr>
                <w:i/>
                <w:sz w:val="22"/>
              </w:rPr>
              <w:t xml:space="preserve"> </w:t>
            </w:r>
            <w:r w:rsidR="007A7D86">
              <w:rPr>
                <w:b/>
                <w:sz w:val="22"/>
              </w:rPr>
              <w:t>BBNAN00900</w:t>
            </w:r>
          </w:p>
        </w:tc>
      </w:tr>
    </w:tbl>
    <w:p w:rsidR="006B6B2E" w:rsidRPr="00B47DEB" w:rsidRDefault="006B6B2E" w:rsidP="006B6B2E">
      <w:pPr>
        <w:suppressAutoHyphens/>
        <w:rPr>
          <w:sz w:val="2"/>
          <w:szCs w:val="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6B6B2E" w:rsidRPr="00B47DEB" w:rsidTr="006B4AC2">
        <w:tc>
          <w:tcPr>
            <w:tcW w:w="9497"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B6B2E" w:rsidRPr="00B47DEB" w:rsidRDefault="006B6B2E" w:rsidP="006B4AC2">
            <w:pPr>
              <w:suppressAutoHyphens/>
              <w:spacing w:before="60"/>
              <w:jc w:val="both"/>
              <w:rPr>
                <w:sz w:val="22"/>
                <w:szCs w:val="22"/>
              </w:rPr>
            </w:pPr>
            <w:r w:rsidRPr="00B47DEB">
              <w:rPr>
                <w:sz w:val="22"/>
              </w:rPr>
              <w:t>Description of the subject: the brief, still informative description of the knowledge to be attained</w:t>
            </w:r>
          </w:p>
        </w:tc>
      </w:tr>
      <w:tr w:rsidR="009D29EB" w:rsidRPr="00B47DEB" w:rsidTr="006B4AC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D29EB" w:rsidRPr="006117B5" w:rsidRDefault="009D29EB" w:rsidP="009D29EB">
            <w:pPr>
              <w:tabs>
                <w:tab w:val="left" w:pos="9072"/>
              </w:tabs>
              <w:jc w:val="both"/>
              <w:rPr>
                <w:b/>
                <w:sz w:val="22"/>
                <w:szCs w:val="22"/>
              </w:rPr>
            </w:pPr>
            <w:r>
              <w:rPr>
                <w:b/>
                <w:sz w:val="22"/>
                <w:szCs w:val="22"/>
              </w:rPr>
              <w:t xml:space="preserve">This course examines a range of novels and films of the 20th century that deal with Irish historical events, social and cultural environments. Students will read works by Kate O’Brien, Edna O’Brien, Brian Moore, John McGahern, and Roddy Doyle. The course will also consider movies directed by John Huston, John Ford, Alan Parker and Neil Jordan. In the process, students will learn about the narrative and cinematic representations of Irish society and Irish culture as it evolves through the course of the 20th century.  </w:t>
            </w:r>
          </w:p>
        </w:tc>
      </w:tr>
      <w:tr w:rsidR="009D29EB" w:rsidRPr="00B47DEB" w:rsidTr="006B4AC2">
        <w:tc>
          <w:tcPr>
            <w:tcW w:w="9497"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9D29EB" w:rsidRPr="00B47DEB" w:rsidRDefault="009D29EB" w:rsidP="009D29EB">
            <w:pPr>
              <w:suppressAutoHyphens/>
              <w:ind w:right="-108"/>
              <w:rPr>
                <w:sz w:val="22"/>
                <w:szCs w:val="22"/>
              </w:rPr>
            </w:pPr>
            <w:r w:rsidRPr="00B47DEB">
              <w:rPr>
                <w:sz w:val="22"/>
              </w:rPr>
              <w:t xml:space="preserve">List of the most important 2–5 pieces of </w:t>
            </w:r>
            <w:r w:rsidRPr="00B47DEB">
              <w:rPr>
                <w:i/>
                <w:sz w:val="22"/>
              </w:rPr>
              <w:t>required</w:t>
            </w:r>
            <w:r w:rsidRPr="00B47DEB">
              <w:rPr>
                <w:sz w:val="22"/>
              </w:rPr>
              <w:t xml:space="preserve"> and </w:t>
            </w:r>
            <w:r w:rsidRPr="00B47DEB">
              <w:rPr>
                <w:i/>
                <w:sz w:val="22"/>
              </w:rPr>
              <w:t xml:space="preserve">recommended </w:t>
            </w:r>
            <w:r w:rsidRPr="00B47DEB">
              <w:rPr>
                <w:sz w:val="22"/>
              </w:rPr>
              <w:t>literature (lecture notes, handbooks) with bibliographical details (author, title, edition information (or specific pages), ISBN)</w:t>
            </w:r>
          </w:p>
        </w:tc>
      </w:tr>
      <w:tr w:rsidR="009D29EB" w:rsidRPr="00B47DEB" w:rsidTr="000257E0">
        <w:tc>
          <w:tcPr>
            <w:tcW w:w="9497"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tcPr>
          <w:p w:rsidR="009D29EB" w:rsidRDefault="009D29EB" w:rsidP="009D29EB">
            <w:pPr>
              <w:rPr>
                <w:b/>
                <w:bCs/>
                <w:sz w:val="22"/>
                <w:szCs w:val="22"/>
              </w:rPr>
            </w:pPr>
            <w:r w:rsidRPr="006117B5">
              <w:rPr>
                <w:b/>
                <w:sz w:val="22"/>
                <w:szCs w:val="22"/>
              </w:rPr>
              <w:t>Required</w:t>
            </w:r>
            <w:r w:rsidRPr="006117B5">
              <w:rPr>
                <w:b/>
                <w:bCs/>
                <w:sz w:val="22"/>
                <w:szCs w:val="22"/>
              </w:rPr>
              <w:t xml:space="preserve"> reading:</w:t>
            </w:r>
          </w:p>
          <w:p w:rsidR="009D29EB" w:rsidRDefault="009D29EB" w:rsidP="009D29EB">
            <w:pPr>
              <w:ind w:left="601" w:hanging="601"/>
              <w:rPr>
                <w:b/>
                <w:bCs/>
                <w:sz w:val="22"/>
                <w:szCs w:val="22"/>
              </w:rPr>
            </w:pPr>
            <w:r>
              <w:rPr>
                <w:b/>
                <w:bCs/>
                <w:sz w:val="22"/>
                <w:szCs w:val="22"/>
              </w:rPr>
              <w:t xml:space="preserve">Kate O’Brien, </w:t>
            </w:r>
            <w:r w:rsidRPr="000C6BBA">
              <w:rPr>
                <w:b/>
                <w:bCs/>
                <w:i/>
                <w:sz w:val="22"/>
                <w:szCs w:val="22"/>
              </w:rPr>
              <w:t>The Land of Spices</w:t>
            </w:r>
            <w:r>
              <w:rPr>
                <w:b/>
                <w:bCs/>
                <w:sz w:val="22"/>
                <w:szCs w:val="22"/>
              </w:rPr>
              <w:t xml:space="preserve"> (London: Virago, 2012) (1 copy already in PPKE library; Order 2 more copies)</w:t>
            </w:r>
          </w:p>
          <w:p w:rsidR="009D29EB" w:rsidRDefault="009D29EB" w:rsidP="009D29EB">
            <w:pPr>
              <w:rPr>
                <w:b/>
                <w:bCs/>
                <w:sz w:val="22"/>
                <w:szCs w:val="22"/>
              </w:rPr>
            </w:pPr>
            <w:r>
              <w:rPr>
                <w:b/>
                <w:bCs/>
                <w:sz w:val="22"/>
                <w:szCs w:val="22"/>
              </w:rPr>
              <w:t xml:space="preserve">Edna O’Brien, </w:t>
            </w:r>
            <w:r w:rsidRPr="000C6BBA">
              <w:rPr>
                <w:b/>
                <w:bCs/>
                <w:i/>
                <w:sz w:val="22"/>
                <w:szCs w:val="22"/>
              </w:rPr>
              <w:t>The Country Girls</w:t>
            </w:r>
            <w:r>
              <w:rPr>
                <w:b/>
                <w:bCs/>
                <w:sz w:val="22"/>
                <w:szCs w:val="22"/>
              </w:rPr>
              <w:t xml:space="preserve"> (London: Phoenix, 2007) (5 copies already in PPKE library)</w:t>
            </w:r>
          </w:p>
          <w:p w:rsidR="009D29EB" w:rsidRDefault="009D29EB" w:rsidP="009D29EB">
            <w:pPr>
              <w:ind w:left="601" w:hanging="601"/>
              <w:rPr>
                <w:b/>
                <w:bCs/>
                <w:sz w:val="22"/>
                <w:szCs w:val="22"/>
              </w:rPr>
            </w:pPr>
            <w:r>
              <w:rPr>
                <w:b/>
                <w:bCs/>
                <w:sz w:val="22"/>
                <w:szCs w:val="22"/>
              </w:rPr>
              <w:t xml:space="preserve">Brian Moore, </w:t>
            </w:r>
            <w:r w:rsidRPr="000C6BBA">
              <w:rPr>
                <w:b/>
                <w:bCs/>
                <w:i/>
                <w:sz w:val="22"/>
                <w:szCs w:val="22"/>
              </w:rPr>
              <w:t>The Lonely Passion of Judith Hearne</w:t>
            </w:r>
            <w:r>
              <w:rPr>
                <w:b/>
                <w:bCs/>
                <w:sz w:val="22"/>
                <w:szCs w:val="22"/>
              </w:rPr>
              <w:t xml:space="preserve"> (London: Harper Perennial, 2009) (2 copies already in library; order 1 more)</w:t>
            </w:r>
          </w:p>
          <w:p w:rsidR="009D29EB" w:rsidRDefault="009D29EB" w:rsidP="009D29EB">
            <w:pPr>
              <w:ind w:left="601" w:hanging="601"/>
              <w:rPr>
                <w:b/>
                <w:bCs/>
                <w:sz w:val="22"/>
                <w:szCs w:val="22"/>
              </w:rPr>
            </w:pPr>
            <w:r>
              <w:rPr>
                <w:b/>
                <w:bCs/>
                <w:sz w:val="22"/>
                <w:szCs w:val="22"/>
              </w:rPr>
              <w:t xml:space="preserve">John McGahern, </w:t>
            </w:r>
            <w:r w:rsidRPr="000C6BBA">
              <w:rPr>
                <w:b/>
                <w:bCs/>
                <w:i/>
                <w:sz w:val="22"/>
                <w:szCs w:val="22"/>
              </w:rPr>
              <w:t>The Barracks</w:t>
            </w:r>
            <w:r>
              <w:rPr>
                <w:b/>
                <w:bCs/>
                <w:sz w:val="22"/>
                <w:szCs w:val="22"/>
              </w:rPr>
              <w:t xml:space="preserve"> (London: Faber, 2009) (1 copy already in library; order 2 more).</w:t>
            </w:r>
          </w:p>
          <w:p w:rsidR="009D29EB" w:rsidRDefault="009D29EB" w:rsidP="009D29EB">
            <w:pPr>
              <w:ind w:left="601" w:hanging="601"/>
              <w:rPr>
                <w:b/>
                <w:bCs/>
                <w:sz w:val="22"/>
                <w:szCs w:val="22"/>
              </w:rPr>
            </w:pPr>
            <w:r>
              <w:rPr>
                <w:b/>
                <w:bCs/>
                <w:sz w:val="22"/>
                <w:szCs w:val="22"/>
              </w:rPr>
              <w:t xml:space="preserve">Roddy Doyle, </w:t>
            </w:r>
            <w:r w:rsidRPr="006D58D1">
              <w:rPr>
                <w:b/>
                <w:bCs/>
                <w:i/>
                <w:sz w:val="22"/>
                <w:szCs w:val="22"/>
              </w:rPr>
              <w:t>Paddy Clarke, Ha, Ha, Ha</w:t>
            </w:r>
            <w:r>
              <w:rPr>
                <w:b/>
                <w:bCs/>
                <w:sz w:val="22"/>
                <w:szCs w:val="22"/>
              </w:rPr>
              <w:t xml:space="preserve"> (London: Penguin, 1995) ISBN: 978-0140233903 (Order 2-3 copies for library)</w:t>
            </w:r>
          </w:p>
          <w:p w:rsidR="009D29EB" w:rsidRDefault="009D29EB" w:rsidP="009D29EB">
            <w:pPr>
              <w:ind w:left="601" w:hanging="601"/>
              <w:rPr>
                <w:b/>
                <w:bCs/>
                <w:sz w:val="22"/>
                <w:szCs w:val="22"/>
              </w:rPr>
            </w:pPr>
          </w:p>
          <w:p w:rsidR="009D29EB" w:rsidRDefault="009D29EB" w:rsidP="009D29EB">
            <w:pPr>
              <w:ind w:left="601" w:hanging="601"/>
              <w:rPr>
                <w:b/>
                <w:bCs/>
                <w:sz w:val="22"/>
                <w:szCs w:val="22"/>
              </w:rPr>
            </w:pPr>
            <w:r>
              <w:rPr>
                <w:b/>
                <w:bCs/>
                <w:sz w:val="22"/>
                <w:szCs w:val="22"/>
              </w:rPr>
              <w:t xml:space="preserve">Movies: </w:t>
            </w:r>
            <w:r w:rsidRPr="000C6BBA">
              <w:rPr>
                <w:b/>
                <w:bCs/>
                <w:i/>
                <w:sz w:val="22"/>
                <w:szCs w:val="22"/>
              </w:rPr>
              <w:t>The Dead</w:t>
            </w:r>
            <w:r>
              <w:rPr>
                <w:b/>
                <w:bCs/>
                <w:sz w:val="22"/>
                <w:szCs w:val="22"/>
              </w:rPr>
              <w:t xml:space="preserve">; </w:t>
            </w:r>
            <w:r w:rsidRPr="000C6BBA">
              <w:rPr>
                <w:b/>
                <w:bCs/>
                <w:i/>
                <w:sz w:val="22"/>
                <w:szCs w:val="22"/>
              </w:rPr>
              <w:t>The Quiet Man</w:t>
            </w:r>
            <w:r>
              <w:rPr>
                <w:b/>
                <w:bCs/>
                <w:sz w:val="22"/>
                <w:szCs w:val="22"/>
              </w:rPr>
              <w:t xml:space="preserve">; </w:t>
            </w:r>
            <w:r w:rsidRPr="000C6BBA">
              <w:rPr>
                <w:b/>
                <w:bCs/>
                <w:i/>
                <w:sz w:val="22"/>
                <w:szCs w:val="22"/>
              </w:rPr>
              <w:t>The Commitments</w:t>
            </w:r>
          </w:p>
          <w:p w:rsidR="009D29EB" w:rsidRPr="006117B5" w:rsidRDefault="009D29EB" w:rsidP="009D29EB">
            <w:pPr>
              <w:rPr>
                <w:b/>
                <w:sz w:val="22"/>
                <w:szCs w:val="22"/>
              </w:rPr>
            </w:pPr>
          </w:p>
          <w:p w:rsidR="009D29EB" w:rsidRPr="006117B5" w:rsidRDefault="009D29EB" w:rsidP="009D29EB">
            <w:pPr>
              <w:tabs>
                <w:tab w:val="left" w:pos="9072"/>
              </w:tabs>
              <w:rPr>
                <w:b/>
                <w:smallCaps/>
                <w:sz w:val="22"/>
                <w:szCs w:val="22"/>
              </w:rPr>
            </w:pPr>
            <w:r w:rsidRPr="006117B5">
              <w:rPr>
                <w:b/>
                <w:sz w:val="22"/>
                <w:szCs w:val="22"/>
              </w:rPr>
              <w:t>Recommended reading:</w:t>
            </w:r>
          </w:p>
          <w:p w:rsidR="009D29EB" w:rsidRPr="006117B5" w:rsidRDefault="009D29EB" w:rsidP="009D29EB">
            <w:pPr>
              <w:tabs>
                <w:tab w:val="left" w:pos="9072"/>
              </w:tabs>
              <w:rPr>
                <w:sz w:val="22"/>
                <w:szCs w:val="22"/>
              </w:rPr>
            </w:pPr>
          </w:p>
        </w:tc>
      </w:tr>
    </w:tbl>
    <w:p w:rsidR="00156CC1" w:rsidRDefault="00156CC1" w:rsidP="006B6B2E">
      <w:bookmarkStart w:id="0" w:name="_GoBack"/>
      <w:bookmarkEnd w:id="0"/>
    </w:p>
    <w:sectPr w:rsidR="00156CC1" w:rsidSect="006B6B2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8B7" w:rsidRDefault="000418B7" w:rsidP="006B6B2E">
      <w:r>
        <w:separator/>
      </w:r>
    </w:p>
  </w:endnote>
  <w:endnote w:type="continuationSeparator" w:id="0">
    <w:p w:rsidR="000418B7" w:rsidRDefault="000418B7" w:rsidP="006B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8B7" w:rsidRDefault="000418B7" w:rsidP="006B6B2E">
      <w:r>
        <w:separator/>
      </w:r>
    </w:p>
  </w:footnote>
  <w:footnote w:type="continuationSeparator" w:id="0">
    <w:p w:rsidR="000418B7" w:rsidRDefault="000418B7" w:rsidP="006B6B2E">
      <w:r>
        <w:continuationSeparator/>
      </w:r>
    </w:p>
  </w:footnote>
  <w:footnote w:id="1">
    <w:p w:rsidR="006B6B2E" w:rsidRDefault="006B6B2E" w:rsidP="006B6B2E">
      <w:pPr>
        <w:pStyle w:val="Lbjegyzetszveg"/>
        <w:suppressAutoHyphens/>
      </w:pPr>
      <w:r>
        <w:rPr>
          <w:rStyle w:val="Lbjegyzet-hivatkozs"/>
        </w:rPr>
        <w:footnoteRef/>
      </w:r>
      <w:r>
        <w:t xml:space="preserve"> </w:t>
      </w:r>
      <w:r>
        <w:rPr>
          <w:sz w:val="19"/>
        </w:rPr>
        <w:t xml:space="preserve">Determination of the educational character, value expressed in credit%: knowledge contents, nature of the competences to be attained </w:t>
      </w:r>
      <w:r>
        <w:rPr>
          <w:i/>
          <w:sz w:val="18"/>
        </w:rPr>
        <w:t>(see description of the subject),</w:t>
      </w:r>
      <w:r>
        <w:rPr>
          <w:sz w:val="18"/>
        </w:rPr>
        <w:t xml:space="preserve"> </w:t>
      </w:r>
      <w:r>
        <w:rPr>
          <w:sz w:val="19"/>
        </w:rPr>
        <w:t>by comparing, evaluating the form of knowledge transfer and form of testing in a combined, complex manner.</w:t>
      </w:r>
    </w:p>
  </w:footnote>
  <w:footnote w:id="2">
    <w:p w:rsidR="006B6B2E" w:rsidRPr="0000385F" w:rsidRDefault="006B6B2E" w:rsidP="006B6B2E">
      <w:pPr>
        <w:pStyle w:val="Lbjegyzetszveg"/>
      </w:pPr>
      <w:r>
        <w:rPr>
          <w:rStyle w:val="Lbjegyzet-hivatkozs"/>
          <w:b/>
        </w:rPr>
        <w:footnoteRef/>
      </w:r>
      <w:r>
        <w:t xml:space="preserve"> e.g. case discussions, role play, thematic presentations, etc.</w:t>
      </w:r>
    </w:p>
  </w:footnote>
  <w:footnote w:id="3">
    <w:p w:rsidR="006B6B2E" w:rsidRPr="00DF1E33" w:rsidRDefault="006B6B2E" w:rsidP="006B6B2E">
      <w:pPr>
        <w:pStyle w:val="Lbjegyzetszveg"/>
      </w:pPr>
      <w:r>
        <w:rPr>
          <w:rStyle w:val="Lbjegyzet-hivatkozs"/>
        </w:rPr>
        <w:footnoteRef/>
      </w:r>
      <w:r>
        <w:t xml:space="preserve"> e.g. hand-in assignments, such as case studies, elaboration of specific topics, compositions, essays, business and organizational plans,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2E"/>
    <w:rsid w:val="000418B7"/>
    <w:rsid w:val="00101C01"/>
    <w:rsid w:val="00156CC1"/>
    <w:rsid w:val="002E7B4E"/>
    <w:rsid w:val="003B6641"/>
    <w:rsid w:val="00473AD4"/>
    <w:rsid w:val="00536E8D"/>
    <w:rsid w:val="005C71EF"/>
    <w:rsid w:val="006B006A"/>
    <w:rsid w:val="006B6B2E"/>
    <w:rsid w:val="007A7D86"/>
    <w:rsid w:val="00805539"/>
    <w:rsid w:val="008C48C7"/>
    <w:rsid w:val="009D29EB"/>
    <w:rsid w:val="00B457B2"/>
    <w:rsid w:val="00C444EE"/>
    <w:rsid w:val="00E079AF"/>
    <w:rsid w:val="00EA0A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FB511-8BC4-45C1-841C-3264179B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6B2E"/>
    <w:pPr>
      <w:spacing w:after="0" w:line="240" w:lineRule="auto"/>
    </w:pPr>
    <w:rPr>
      <w:rFonts w:ascii="Times New Roman" w:eastAsia="Times New Roman" w:hAnsi="Times New Roman" w:cs="Times New Roman"/>
      <w:sz w:val="20"/>
      <w:szCs w:val="20"/>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6B6B2E"/>
    <w:rPr>
      <w:vertAlign w:val="superscript"/>
    </w:rPr>
  </w:style>
  <w:style w:type="paragraph" w:styleId="Lbjegyzetszveg">
    <w:name w:val="footnote text"/>
    <w:basedOn w:val="Norml"/>
    <w:link w:val="LbjegyzetszvegChar"/>
    <w:semiHidden/>
    <w:rsid w:val="006B6B2E"/>
  </w:style>
  <w:style w:type="character" w:customStyle="1" w:styleId="LbjegyzetszvegChar">
    <w:name w:val="Lábjegyzetszöveg Char"/>
    <w:basedOn w:val="Bekezdsalapbettpusa"/>
    <w:link w:val="Lbjegyzetszveg"/>
    <w:semiHidden/>
    <w:rsid w:val="006B6B2E"/>
    <w:rPr>
      <w:rFonts w:ascii="Times New Roman" w:eastAsia="Times New Roman" w:hAnsi="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1960</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PPKE BTK</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bbkati</cp:lastModifiedBy>
  <cp:revision>4</cp:revision>
  <dcterms:created xsi:type="dcterms:W3CDTF">2017-01-31T09:02:00Z</dcterms:created>
  <dcterms:modified xsi:type="dcterms:W3CDTF">2018-08-31T19:51:00Z</dcterms:modified>
</cp:coreProperties>
</file>