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6624"/>
        <w:gridCol w:w="2192"/>
      </w:tblGrid>
      <w:tr w:rsidR="008410CB" w:rsidTr="008410CB">
        <w:tc>
          <w:tcPr>
            <w:tcW w:w="6624" w:type="dxa"/>
            <w:tcBorders>
              <w:top w:val="single" w:sz="2" w:space="0" w:color="808080"/>
              <w:left w:val="single" w:sz="2" w:space="0" w:color="808080"/>
              <w:bottom w:val="single" w:sz="2" w:space="0" w:color="808080"/>
              <w:right w:val="single" w:sz="2" w:space="0" w:color="808080"/>
            </w:tcBorders>
            <w:tcMar>
              <w:top w:w="57" w:type="dxa"/>
              <w:left w:w="108" w:type="dxa"/>
              <w:bottom w:w="57" w:type="dxa"/>
              <w:right w:w="108" w:type="dxa"/>
            </w:tcMar>
            <w:vAlign w:val="center"/>
            <w:hideMark/>
          </w:tcPr>
          <w:p w:rsidR="008410CB" w:rsidRDefault="008410CB" w:rsidP="00025EA0">
            <w:pPr>
              <w:rPr>
                <w:b/>
                <w:sz w:val="22"/>
                <w:szCs w:val="22"/>
              </w:rPr>
            </w:pPr>
            <w:r>
              <w:rPr>
                <w:b/>
                <w:sz w:val="22"/>
                <w:szCs w:val="22"/>
              </w:rPr>
              <w:t>Course Title: Visual Culture</w:t>
            </w:r>
          </w:p>
        </w:tc>
        <w:tc>
          <w:tcPr>
            <w:tcW w:w="2192" w:type="dxa"/>
            <w:tcBorders>
              <w:top w:val="single" w:sz="2" w:space="0" w:color="808080"/>
              <w:left w:val="single" w:sz="2" w:space="0" w:color="808080"/>
              <w:bottom w:val="single" w:sz="2" w:space="0" w:color="808080"/>
              <w:right w:val="single" w:sz="2" w:space="0" w:color="808080"/>
            </w:tcBorders>
            <w:tcMar>
              <w:top w:w="57" w:type="dxa"/>
              <w:left w:w="108" w:type="dxa"/>
              <w:bottom w:w="57" w:type="dxa"/>
              <w:right w:w="108" w:type="dxa"/>
            </w:tcMar>
            <w:vAlign w:val="center"/>
            <w:hideMark/>
          </w:tcPr>
          <w:p w:rsidR="008410CB" w:rsidRDefault="008410CB" w:rsidP="00025EA0">
            <w:pPr>
              <w:spacing w:before="60"/>
              <w:rPr>
                <w:b/>
                <w:sz w:val="22"/>
                <w:szCs w:val="22"/>
              </w:rPr>
            </w:pPr>
            <w:r>
              <w:rPr>
                <w:b/>
                <w:sz w:val="22"/>
                <w:szCs w:val="22"/>
              </w:rPr>
              <w:t>Credits: 3</w:t>
            </w:r>
          </w:p>
        </w:tc>
      </w:tr>
      <w:tr w:rsidR="008410CB" w:rsidTr="008410CB">
        <w:tc>
          <w:tcPr>
            <w:tcW w:w="8816" w:type="dxa"/>
            <w:gridSpan w:val="2"/>
            <w:tcBorders>
              <w:top w:val="single" w:sz="2" w:space="0" w:color="808080"/>
              <w:left w:val="single" w:sz="2" w:space="0" w:color="808080"/>
              <w:bottom w:val="single" w:sz="2" w:space="0" w:color="808080"/>
              <w:right w:val="single" w:sz="2" w:space="0" w:color="808080"/>
            </w:tcBorders>
            <w:tcMar>
              <w:top w:w="57" w:type="dxa"/>
              <w:left w:w="108" w:type="dxa"/>
              <w:bottom w:w="57" w:type="dxa"/>
              <w:right w:w="108" w:type="dxa"/>
            </w:tcMar>
            <w:hideMark/>
          </w:tcPr>
          <w:p w:rsidR="008410CB" w:rsidRDefault="008410CB" w:rsidP="00025EA0">
            <w:pPr>
              <w:jc w:val="both"/>
              <w:rPr>
                <w:sz w:val="22"/>
                <w:szCs w:val="22"/>
              </w:rPr>
            </w:pPr>
            <w:r>
              <w:rPr>
                <w:b/>
                <w:sz w:val="22"/>
                <w:szCs w:val="22"/>
              </w:rPr>
              <w:t>Type of course</w:t>
            </w:r>
            <w:r>
              <w:rPr>
                <w:sz w:val="22"/>
                <w:szCs w:val="22"/>
              </w:rPr>
              <w:t xml:space="preserve"> (lecture/seminar): </w:t>
            </w:r>
            <w:r>
              <w:rPr>
                <w:b/>
                <w:sz w:val="22"/>
                <w:szCs w:val="22"/>
              </w:rPr>
              <w:t>lecture</w:t>
            </w:r>
            <w:r>
              <w:rPr>
                <w:sz w:val="22"/>
                <w:szCs w:val="22"/>
              </w:rPr>
              <w:t xml:space="preserve"> and hours per week/semester: </w:t>
            </w:r>
            <w:r>
              <w:rPr>
                <w:b/>
                <w:sz w:val="22"/>
                <w:szCs w:val="22"/>
              </w:rPr>
              <w:t>2/30</w:t>
            </w:r>
          </w:p>
        </w:tc>
      </w:tr>
      <w:tr w:rsidR="008410CB" w:rsidTr="008410CB">
        <w:tc>
          <w:tcPr>
            <w:tcW w:w="8816" w:type="dxa"/>
            <w:gridSpan w:val="2"/>
            <w:tcBorders>
              <w:top w:val="single" w:sz="2" w:space="0" w:color="808080"/>
              <w:left w:val="single" w:sz="2" w:space="0" w:color="808080"/>
              <w:bottom w:val="single" w:sz="2" w:space="0" w:color="808080"/>
              <w:right w:val="single" w:sz="2" w:space="0" w:color="808080"/>
            </w:tcBorders>
            <w:tcMar>
              <w:top w:w="57" w:type="dxa"/>
              <w:left w:w="108" w:type="dxa"/>
              <w:bottom w:w="57" w:type="dxa"/>
              <w:right w:w="108" w:type="dxa"/>
            </w:tcMar>
            <w:hideMark/>
          </w:tcPr>
          <w:p w:rsidR="008410CB" w:rsidRDefault="008410CB" w:rsidP="00025EA0">
            <w:pPr>
              <w:jc w:val="both"/>
              <w:rPr>
                <w:b/>
                <w:sz w:val="22"/>
                <w:szCs w:val="22"/>
              </w:rPr>
            </w:pPr>
            <w:r>
              <w:rPr>
                <w:b/>
                <w:sz w:val="22"/>
                <w:szCs w:val="22"/>
              </w:rPr>
              <w:t>Method of assessment</w:t>
            </w:r>
            <w:r>
              <w:rPr>
                <w:sz w:val="22"/>
                <w:szCs w:val="22"/>
              </w:rPr>
              <w:t xml:space="preserve"> (exam/practical grade): </w:t>
            </w:r>
            <w:r>
              <w:rPr>
                <w:b/>
                <w:sz w:val="22"/>
                <w:szCs w:val="22"/>
              </w:rPr>
              <w:t>exam</w:t>
            </w:r>
          </w:p>
        </w:tc>
      </w:tr>
      <w:tr w:rsidR="008410CB" w:rsidTr="008410CB">
        <w:tc>
          <w:tcPr>
            <w:tcW w:w="8816" w:type="dxa"/>
            <w:gridSpan w:val="2"/>
            <w:tcBorders>
              <w:top w:val="single" w:sz="2" w:space="0" w:color="808080"/>
              <w:left w:val="single" w:sz="2" w:space="0" w:color="808080"/>
              <w:bottom w:val="single" w:sz="2" w:space="0" w:color="808080"/>
              <w:right w:val="single" w:sz="2" w:space="0" w:color="808080"/>
            </w:tcBorders>
            <w:tcMar>
              <w:top w:w="57" w:type="dxa"/>
              <w:left w:w="108" w:type="dxa"/>
              <w:bottom w:w="57" w:type="dxa"/>
              <w:right w:w="108" w:type="dxa"/>
            </w:tcMar>
            <w:hideMark/>
          </w:tcPr>
          <w:p w:rsidR="008410CB" w:rsidRDefault="008410CB" w:rsidP="00025EA0">
            <w:pPr>
              <w:jc w:val="both"/>
              <w:rPr>
                <w:b/>
                <w:sz w:val="22"/>
                <w:szCs w:val="22"/>
              </w:rPr>
            </w:pPr>
            <w:r>
              <w:rPr>
                <w:b/>
                <w:sz w:val="22"/>
                <w:szCs w:val="22"/>
              </w:rPr>
              <w:t>Suggested semester</w:t>
            </w:r>
            <w:r>
              <w:rPr>
                <w:sz w:val="22"/>
                <w:szCs w:val="22"/>
              </w:rPr>
              <w:t xml:space="preserve">: </w:t>
            </w:r>
            <w:r>
              <w:rPr>
                <w:b/>
                <w:sz w:val="22"/>
                <w:szCs w:val="22"/>
              </w:rPr>
              <w:t>4th</w:t>
            </w:r>
          </w:p>
        </w:tc>
      </w:tr>
      <w:tr w:rsidR="008410CB" w:rsidTr="008410CB">
        <w:tc>
          <w:tcPr>
            <w:tcW w:w="8816" w:type="dxa"/>
            <w:gridSpan w:val="2"/>
            <w:tcBorders>
              <w:top w:val="single" w:sz="2" w:space="0" w:color="808080"/>
              <w:left w:val="single" w:sz="2" w:space="0" w:color="808080"/>
              <w:bottom w:val="single" w:sz="2" w:space="0" w:color="808080"/>
              <w:right w:val="single" w:sz="2" w:space="0" w:color="808080"/>
            </w:tcBorders>
            <w:tcMar>
              <w:top w:w="57" w:type="dxa"/>
              <w:left w:w="108" w:type="dxa"/>
              <w:bottom w:w="57" w:type="dxa"/>
              <w:right w:w="108" w:type="dxa"/>
            </w:tcMar>
            <w:hideMark/>
          </w:tcPr>
          <w:p w:rsidR="008410CB" w:rsidRDefault="008410CB" w:rsidP="00025EA0">
            <w:pPr>
              <w:jc w:val="both"/>
              <w:rPr>
                <w:sz w:val="22"/>
                <w:szCs w:val="22"/>
              </w:rPr>
            </w:pPr>
            <w:r>
              <w:rPr>
                <w:b/>
                <w:sz w:val="22"/>
                <w:szCs w:val="22"/>
              </w:rPr>
              <w:t xml:space="preserve">Prerequisites </w:t>
            </w:r>
            <w:r>
              <w:rPr>
                <w:i/>
                <w:sz w:val="22"/>
                <w:szCs w:val="22"/>
              </w:rPr>
              <w:t>(if any)</w:t>
            </w:r>
            <w:r>
              <w:rPr>
                <w:sz w:val="22"/>
                <w:szCs w:val="22"/>
              </w:rPr>
              <w:t>:</w:t>
            </w:r>
            <w:r>
              <w:rPr>
                <w:b/>
                <w:sz w:val="22"/>
                <w:szCs w:val="22"/>
              </w:rPr>
              <w:t>Complex language exam</w:t>
            </w:r>
          </w:p>
        </w:tc>
      </w:tr>
      <w:tr w:rsidR="008410CB" w:rsidTr="008410CB">
        <w:tc>
          <w:tcPr>
            <w:tcW w:w="8816" w:type="dxa"/>
            <w:gridSpan w:val="2"/>
            <w:tcBorders>
              <w:top w:val="single" w:sz="2" w:space="0" w:color="808080"/>
              <w:left w:val="single" w:sz="2" w:space="0" w:color="808080"/>
              <w:bottom w:val="single" w:sz="2" w:space="0" w:color="808080"/>
              <w:right w:val="single" w:sz="2" w:space="0" w:color="808080"/>
            </w:tcBorders>
            <w:tcMar>
              <w:top w:w="57" w:type="dxa"/>
              <w:left w:w="108" w:type="dxa"/>
              <w:bottom w:w="57" w:type="dxa"/>
              <w:right w:w="108" w:type="dxa"/>
            </w:tcMar>
            <w:hideMark/>
          </w:tcPr>
          <w:p w:rsidR="008410CB" w:rsidRDefault="008410CB" w:rsidP="00025EA0">
            <w:pPr>
              <w:jc w:val="both"/>
              <w:rPr>
                <w:b/>
                <w:sz w:val="22"/>
                <w:szCs w:val="22"/>
              </w:rPr>
            </w:pPr>
            <w:r>
              <w:rPr>
                <w:b/>
                <w:sz w:val="22"/>
                <w:szCs w:val="22"/>
              </w:rPr>
              <w:t>Course description</w:t>
            </w:r>
            <w:r>
              <w:rPr>
                <w:sz w:val="22"/>
                <w:szCs w:val="22"/>
              </w:rPr>
              <w:t xml:space="preserve">: </w:t>
            </w:r>
          </w:p>
        </w:tc>
      </w:tr>
      <w:tr w:rsidR="008410CB" w:rsidTr="008410CB">
        <w:trPr>
          <w:trHeight w:val="280"/>
        </w:trPr>
        <w:tc>
          <w:tcPr>
            <w:tcW w:w="8816" w:type="dxa"/>
            <w:gridSpan w:val="2"/>
            <w:tcBorders>
              <w:top w:val="single" w:sz="2" w:space="0" w:color="808080"/>
              <w:left w:val="single" w:sz="2" w:space="0" w:color="808080"/>
              <w:bottom w:val="single" w:sz="2" w:space="0" w:color="808080"/>
              <w:right w:val="single" w:sz="2" w:space="0" w:color="808080"/>
            </w:tcBorders>
            <w:shd w:val="clear" w:color="auto" w:fill="FFFF99"/>
            <w:tcMar>
              <w:top w:w="57" w:type="dxa"/>
              <w:left w:w="108" w:type="dxa"/>
              <w:bottom w:w="57" w:type="dxa"/>
              <w:right w:w="108" w:type="dxa"/>
            </w:tcMar>
          </w:tcPr>
          <w:p w:rsidR="008410CB" w:rsidRDefault="008410CB" w:rsidP="00025EA0">
            <w:pPr>
              <w:tabs>
                <w:tab w:val="left" w:pos="9072"/>
              </w:tabs>
              <w:jc w:val="both"/>
              <w:rPr>
                <w:sz w:val="22"/>
                <w:lang w:val="en-GB"/>
              </w:rPr>
            </w:pPr>
            <w:r>
              <w:rPr>
                <w:sz w:val="22"/>
                <w:lang w:val="en-GB"/>
              </w:rPr>
              <w:t xml:space="preserve">Visual culture as an independent academic discipline has come into existence as a result of the so-called “pictorial turn” in the middle of the 1990s. Its aim is to evaluate and interpret the constantly increasing role of visuality as a cultural phenomenon, and investigate its workings in a variety of context, using interdisciplinary methods. The lecture course uses theories of visual culture to approach Anglo-American culture from the disciplines of visual arts (painting and sculpture), photography, cinema and architecture, but also makes references to phenomena of contemporary advertising and fashion culture. During the term, students get acquainted with the methodology of reading and interpreting works of art and visual phenomena as “texts”, to highlight various aspects of these cultural fields. The course is followed by an exam, which may include project work / case studies by students, examining some element of visual culture. </w:t>
            </w:r>
          </w:p>
          <w:p w:rsidR="008410CB" w:rsidRDefault="008410CB" w:rsidP="00025EA0">
            <w:pPr>
              <w:tabs>
                <w:tab w:val="left" w:pos="9072"/>
              </w:tabs>
              <w:jc w:val="both"/>
              <w:rPr>
                <w:b/>
                <w:sz w:val="22"/>
                <w:szCs w:val="22"/>
              </w:rPr>
            </w:pPr>
          </w:p>
        </w:tc>
      </w:tr>
      <w:tr w:rsidR="008410CB" w:rsidTr="008410CB">
        <w:tc>
          <w:tcPr>
            <w:tcW w:w="8816" w:type="dxa"/>
            <w:gridSpan w:val="2"/>
            <w:tcBorders>
              <w:top w:val="single" w:sz="2" w:space="0" w:color="808080"/>
              <w:left w:val="single" w:sz="2" w:space="0" w:color="808080"/>
              <w:bottom w:val="single" w:sz="2" w:space="0" w:color="808080"/>
              <w:right w:val="single" w:sz="2" w:space="0" w:color="808080"/>
            </w:tcBorders>
            <w:tcMar>
              <w:top w:w="57" w:type="dxa"/>
              <w:left w:w="108" w:type="dxa"/>
              <w:bottom w:w="57" w:type="dxa"/>
              <w:right w:w="108" w:type="dxa"/>
            </w:tcMar>
            <w:vAlign w:val="center"/>
            <w:hideMark/>
          </w:tcPr>
          <w:p w:rsidR="008410CB" w:rsidRDefault="008410CB" w:rsidP="00025EA0">
            <w:pPr>
              <w:jc w:val="both"/>
              <w:rPr>
                <w:b/>
                <w:sz w:val="22"/>
                <w:szCs w:val="22"/>
              </w:rPr>
            </w:pPr>
            <w:r>
              <w:rPr>
                <w:sz w:val="22"/>
                <w:szCs w:val="22"/>
              </w:rPr>
              <w:t>Required and recommended reading:</w:t>
            </w:r>
          </w:p>
        </w:tc>
      </w:tr>
      <w:tr w:rsidR="008410CB" w:rsidTr="008410CB">
        <w:trPr>
          <w:trHeight w:val="1194"/>
        </w:trPr>
        <w:tc>
          <w:tcPr>
            <w:tcW w:w="8816" w:type="dxa"/>
            <w:gridSpan w:val="2"/>
            <w:tcBorders>
              <w:top w:val="single" w:sz="2" w:space="0" w:color="808080"/>
              <w:left w:val="single" w:sz="2" w:space="0" w:color="808080"/>
              <w:bottom w:val="single" w:sz="2" w:space="0" w:color="808080"/>
              <w:right w:val="single" w:sz="2" w:space="0" w:color="808080"/>
            </w:tcBorders>
            <w:shd w:val="clear" w:color="auto" w:fill="FFFF99"/>
            <w:tcMar>
              <w:top w:w="57" w:type="dxa"/>
              <w:left w:w="108" w:type="dxa"/>
              <w:bottom w:w="57" w:type="dxa"/>
              <w:right w:w="108" w:type="dxa"/>
            </w:tcMar>
            <w:hideMark/>
          </w:tcPr>
          <w:p w:rsidR="008410CB" w:rsidRDefault="008410CB" w:rsidP="00025EA0">
            <w:pPr>
              <w:rPr>
                <w:b/>
                <w:sz w:val="22"/>
                <w:szCs w:val="22"/>
              </w:rPr>
            </w:pPr>
            <w:r>
              <w:rPr>
                <w:b/>
                <w:sz w:val="22"/>
                <w:szCs w:val="22"/>
              </w:rPr>
              <w:t>Required</w:t>
            </w:r>
            <w:r>
              <w:rPr>
                <w:b/>
                <w:bCs/>
                <w:sz w:val="22"/>
                <w:szCs w:val="22"/>
              </w:rPr>
              <w:t xml:space="preserve"> reading:</w:t>
            </w:r>
          </w:p>
          <w:p w:rsidR="008410CB" w:rsidRDefault="008410CB" w:rsidP="00025EA0">
            <w:pPr>
              <w:jc w:val="both"/>
              <w:rPr>
                <w:sz w:val="22"/>
              </w:rPr>
            </w:pPr>
            <w:r>
              <w:rPr>
                <w:smallCaps/>
                <w:sz w:val="22"/>
              </w:rPr>
              <w:t>Mitchell</w:t>
            </w:r>
            <w:r>
              <w:rPr>
                <w:sz w:val="22"/>
              </w:rPr>
              <w:t xml:space="preserve">, W. J. Thomas, </w:t>
            </w:r>
            <w:r>
              <w:rPr>
                <w:i/>
                <w:sz w:val="22"/>
              </w:rPr>
              <w:t xml:space="preserve">Picture theory, </w:t>
            </w:r>
            <w:r>
              <w:rPr>
                <w:sz w:val="22"/>
              </w:rPr>
              <w:t>Chicago, University of Chicago Press, 1994, ISBN 0-226-53232-1</w:t>
            </w:r>
          </w:p>
          <w:p w:rsidR="008410CB" w:rsidRDefault="008410CB" w:rsidP="00025EA0">
            <w:pPr>
              <w:jc w:val="both"/>
              <w:rPr>
                <w:sz w:val="22"/>
              </w:rPr>
            </w:pPr>
            <w:r>
              <w:rPr>
                <w:smallCaps/>
                <w:sz w:val="22"/>
              </w:rPr>
              <w:t xml:space="preserve">Sturken, </w:t>
            </w:r>
            <w:r>
              <w:rPr>
                <w:sz w:val="22"/>
              </w:rPr>
              <w:t xml:space="preserve">Marita, </w:t>
            </w:r>
            <w:r>
              <w:rPr>
                <w:smallCaps/>
                <w:sz w:val="22"/>
              </w:rPr>
              <w:t>Cartwright</w:t>
            </w:r>
            <w:r>
              <w:rPr>
                <w:sz w:val="22"/>
              </w:rPr>
              <w:t>, Lisa,</w:t>
            </w:r>
            <w:r>
              <w:rPr>
                <w:i/>
                <w:sz w:val="22"/>
              </w:rPr>
              <w:t xml:space="preserve"> Practices of looking : an introduction to visual culture, </w:t>
            </w:r>
            <w:r>
              <w:rPr>
                <w:sz w:val="22"/>
              </w:rPr>
              <w:t>Oxford, Oxford University Press, 2003, ISBN 0-19-874271-1</w:t>
            </w:r>
          </w:p>
          <w:p w:rsidR="008410CB" w:rsidRDefault="008410CB" w:rsidP="00025EA0">
            <w:pPr>
              <w:tabs>
                <w:tab w:val="left" w:pos="9072"/>
              </w:tabs>
              <w:rPr>
                <w:smallCaps/>
                <w:sz w:val="22"/>
                <w:szCs w:val="22"/>
              </w:rPr>
            </w:pPr>
            <w:r>
              <w:rPr>
                <w:smallCaps/>
                <w:spacing w:val="-4"/>
                <w:sz w:val="22"/>
              </w:rPr>
              <w:t>Mirzoeff</w:t>
            </w:r>
            <w:r>
              <w:rPr>
                <w:spacing w:val="-4"/>
                <w:sz w:val="22"/>
              </w:rPr>
              <w:t xml:space="preserve">, Nicholas, </w:t>
            </w:r>
            <w:r>
              <w:rPr>
                <w:i/>
                <w:spacing w:val="-4"/>
                <w:sz w:val="22"/>
              </w:rPr>
              <w:t>An introduction to visual culture,</w:t>
            </w:r>
            <w:r>
              <w:rPr>
                <w:spacing w:val="-4"/>
                <w:sz w:val="22"/>
              </w:rPr>
              <w:t xml:space="preserve"> London, Routledge, 2001, ISBN 0-415-15876-1</w:t>
            </w:r>
          </w:p>
          <w:p w:rsidR="008410CB" w:rsidRDefault="008410CB" w:rsidP="00025EA0">
            <w:pPr>
              <w:tabs>
                <w:tab w:val="left" w:pos="9072"/>
              </w:tabs>
              <w:rPr>
                <w:b/>
                <w:smallCaps/>
                <w:sz w:val="22"/>
                <w:szCs w:val="22"/>
              </w:rPr>
            </w:pPr>
            <w:r>
              <w:rPr>
                <w:b/>
                <w:sz w:val="22"/>
                <w:szCs w:val="22"/>
              </w:rPr>
              <w:t>Recommended reading:</w:t>
            </w:r>
          </w:p>
          <w:p w:rsidR="008410CB" w:rsidRDefault="008410CB" w:rsidP="00025EA0">
            <w:pPr>
              <w:jc w:val="both"/>
              <w:rPr>
                <w:sz w:val="22"/>
              </w:rPr>
            </w:pPr>
            <w:r>
              <w:rPr>
                <w:smallCaps/>
                <w:sz w:val="22"/>
              </w:rPr>
              <w:t>Mitchell</w:t>
            </w:r>
            <w:r>
              <w:rPr>
                <w:sz w:val="22"/>
              </w:rPr>
              <w:t xml:space="preserve">, W. J. Thomas (szerk.), </w:t>
            </w:r>
            <w:r>
              <w:rPr>
                <w:i/>
                <w:sz w:val="22"/>
              </w:rPr>
              <w:t xml:space="preserve">The language of images, </w:t>
            </w:r>
            <w:r>
              <w:rPr>
                <w:sz w:val="22"/>
              </w:rPr>
              <w:t>Chicago, University of Chicago Press, 1980, ISBN 0-226-53215-1</w:t>
            </w:r>
          </w:p>
          <w:p w:rsidR="008410CB" w:rsidRDefault="008410CB" w:rsidP="00025EA0">
            <w:pPr>
              <w:tabs>
                <w:tab w:val="left" w:pos="9072"/>
              </w:tabs>
              <w:rPr>
                <w:sz w:val="22"/>
                <w:szCs w:val="22"/>
              </w:rPr>
            </w:pPr>
            <w:r>
              <w:rPr>
                <w:smallCaps/>
                <w:sz w:val="22"/>
              </w:rPr>
              <w:t>Huyssen</w:t>
            </w:r>
            <w:r>
              <w:rPr>
                <w:sz w:val="22"/>
              </w:rPr>
              <w:t>, Andreas,</w:t>
            </w:r>
            <w:r>
              <w:rPr>
                <w:i/>
                <w:sz w:val="22"/>
              </w:rPr>
              <w:t xml:space="preserve"> Present pasts : urban palimpsests and the politics of memory, </w:t>
            </w:r>
            <w:r>
              <w:rPr>
                <w:sz w:val="22"/>
              </w:rPr>
              <w:t>Stanford, Stanford University Press, 2003, ISBN 0-8047-4560-9</w:t>
            </w:r>
          </w:p>
        </w:tc>
      </w:tr>
    </w:tbl>
    <w:p w:rsidR="00BF193D" w:rsidRDefault="00BF193D">
      <w:bookmarkStart w:id="0" w:name="_GoBack"/>
      <w:bookmarkEnd w:id="0"/>
    </w:p>
    <w:sectPr w:rsidR="00BF1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CB"/>
    <w:rsid w:val="008410CB"/>
    <w:rsid w:val="00BF193D"/>
    <w:rsid w:val="00BF67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CBD42-AE64-469C-B676-E6C475E9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410CB"/>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1662</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bbkati</dc:creator>
  <cp:keywords/>
  <dc:description/>
  <cp:lastModifiedBy>bbkati</cp:lastModifiedBy>
  <cp:revision>1</cp:revision>
  <dcterms:created xsi:type="dcterms:W3CDTF">2018-09-01T08:29:00Z</dcterms:created>
  <dcterms:modified xsi:type="dcterms:W3CDTF">2018-09-01T08:32:00Z</dcterms:modified>
</cp:coreProperties>
</file>