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2E" w:rsidRPr="00B47DEB"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rsidTr="006B4AC2">
        <w:tc>
          <w:tcPr>
            <w:tcW w:w="7088" w:type="dxa"/>
            <w:tcBorders>
              <w:top w:val="single" w:sz="4" w:space="0" w:color="auto"/>
              <w:left w:val="single" w:sz="4" w:space="0" w:color="auto"/>
            </w:tcBorders>
            <w:shd w:val="clear" w:color="auto" w:fill="auto"/>
            <w:tcMar>
              <w:top w:w="57" w:type="dxa"/>
              <w:bottom w:w="57" w:type="dxa"/>
            </w:tcMar>
          </w:tcPr>
          <w:p w:rsidR="006B6B2E" w:rsidRPr="00B47DEB" w:rsidRDefault="006B6B2E" w:rsidP="006B4AC2">
            <w:pPr>
              <w:suppressAutoHyphens/>
              <w:jc w:val="both"/>
              <w:rPr>
                <w:i/>
                <w:sz w:val="22"/>
                <w:szCs w:val="22"/>
              </w:rPr>
            </w:pPr>
            <w:r w:rsidRPr="00B47DEB">
              <w:rPr>
                <w:sz w:val="22"/>
              </w:rPr>
              <w:t xml:space="preserve">Title of the subject: </w:t>
            </w:r>
            <w:r w:rsidR="00C74581">
              <w:rPr>
                <w:b/>
                <w:sz w:val="22"/>
                <w:szCs w:val="22"/>
              </w:rPr>
              <w:t>Popular literature and its genres</w:t>
            </w:r>
          </w:p>
        </w:tc>
        <w:tc>
          <w:tcPr>
            <w:tcW w:w="2409" w:type="dxa"/>
            <w:tcBorders>
              <w:top w:val="single" w:sz="4" w:space="0" w:color="auto"/>
              <w:right w:val="single" w:sz="4" w:space="0" w:color="auto"/>
            </w:tcBorders>
            <w:shd w:val="clear" w:color="auto" w:fill="auto"/>
            <w:tcMar>
              <w:top w:w="57" w:type="dxa"/>
              <w:bottom w:w="57" w:type="dxa"/>
            </w:tcMar>
          </w:tcPr>
          <w:p w:rsidR="006B6B2E" w:rsidRPr="00B47DEB" w:rsidRDefault="006B6B2E" w:rsidP="00C74581">
            <w:pPr>
              <w:suppressAutoHyphens/>
              <w:spacing w:before="60"/>
              <w:jc w:val="both"/>
              <w:rPr>
                <w:sz w:val="22"/>
                <w:szCs w:val="22"/>
              </w:rPr>
            </w:pPr>
            <w:r w:rsidRPr="00B47DEB">
              <w:rPr>
                <w:sz w:val="22"/>
              </w:rPr>
              <w:t xml:space="preserve">Credit value: </w:t>
            </w:r>
            <w:r w:rsidR="00C74581">
              <w:rPr>
                <w:b/>
                <w:sz w:val="22"/>
              </w:rPr>
              <w:t>4</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C74581">
            <w:pPr>
              <w:suppressAutoHyphens/>
              <w:spacing w:before="60"/>
              <w:jc w:val="both"/>
              <w:rPr>
                <w:sz w:val="22"/>
                <w:szCs w:val="22"/>
              </w:rPr>
            </w:pPr>
            <w:r w:rsidRPr="00B47DEB">
              <w:rPr>
                <w:sz w:val="22"/>
              </w:rPr>
              <w:t>Category of the subject</w:t>
            </w:r>
            <w:r w:rsidRPr="008C48C7">
              <w:rPr>
                <w:b/>
                <w:sz w:val="22"/>
              </w:rPr>
              <w:t>: optional</w:t>
            </w:r>
            <w:r w:rsidRPr="00B47DEB">
              <w:rPr>
                <w:sz w:val="22"/>
              </w:rPr>
              <w:t xml:space="preserve"> </w:t>
            </w:r>
            <w:r w:rsidRPr="00B47DEB">
              <w:rPr>
                <w:i/>
              </w:rPr>
              <w:t>(strike out as appropriate!)</w:t>
            </w:r>
          </w:p>
        </w:tc>
      </w:tr>
      <w:tr w:rsidR="006B6B2E" w:rsidRPr="00B47DEB"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AA1A9D">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00B457B2">
              <w:rPr>
                <w:b/>
                <w:sz w:val="22"/>
              </w:rPr>
              <w:t>100%</w:t>
            </w:r>
            <w:r w:rsidRPr="00B47DEB">
              <w:rPr>
                <w:sz w:val="22"/>
              </w:rPr>
              <w:t xml:space="preserve"> </w:t>
            </w:r>
            <w:r w:rsidR="00C74581">
              <w:rPr>
                <w:b/>
                <w:sz w:val="22"/>
              </w:rPr>
              <w:t xml:space="preserve">seminar </w:t>
            </w:r>
            <w:r w:rsidRPr="00B47DEB">
              <w:rPr>
                <w:sz w:val="22"/>
              </w:rPr>
              <w:t>(credit%)</w:t>
            </w:r>
          </w:p>
        </w:tc>
      </w:tr>
      <w:tr w:rsidR="006B6B2E" w:rsidRPr="00B47DEB"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Type of the class: </w:t>
            </w:r>
            <w:r w:rsidRPr="005C71EF">
              <w:rPr>
                <w:b/>
                <w:sz w:val="22"/>
              </w:rPr>
              <w:t xml:space="preserve">sem. </w:t>
            </w:r>
            <w:r w:rsidRPr="00B47DEB">
              <w:rPr>
                <w:sz w:val="22"/>
              </w:rPr>
              <w:t xml:space="preserve">and number of classes: </w:t>
            </w:r>
            <w:r w:rsidR="005C71EF">
              <w:rPr>
                <w:b/>
                <w:sz w:val="22"/>
              </w:rPr>
              <w:t>26</w:t>
            </w:r>
            <w:r w:rsidRPr="00B47DEB">
              <w:rPr>
                <w:sz w:val="22"/>
              </w:rPr>
              <w:t xml:space="preserve"> in the given semester,</w:t>
            </w:r>
          </w:p>
          <w:p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805539">
              <w:rPr>
                <w:i/>
                <w:sz w:val="22"/>
              </w:rPr>
              <w:t>English</w:t>
            </w:r>
            <w:r w:rsidRPr="00B47DEB">
              <w:rPr>
                <w:i/>
                <w:sz w:val="22"/>
              </w:rPr>
              <w:t>)</w:t>
            </w:r>
          </w:p>
          <w:p w:rsidR="006B6B2E" w:rsidRPr="00B47DEB" w:rsidRDefault="006B6B2E" w:rsidP="00AA1A9D">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 of the transfer of the given knowledge</w:t>
            </w:r>
            <w:r>
              <w:rPr>
                <w:sz w:val="22"/>
              </w:rPr>
              <w:t xml:space="preserve"> </w:t>
            </w:r>
            <w:r w:rsidRPr="00B47DEB">
              <w:rPr>
                <w:i/>
                <w:sz w:val="21"/>
              </w:rPr>
              <w:t>(if any)</w:t>
            </w:r>
            <w:r w:rsidRPr="00B47DEB">
              <w:rPr>
                <w:sz w:val="22"/>
              </w:rPr>
              <w:t xml:space="preserve">: </w:t>
            </w:r>
            <w:r w:rsidRPr="008C48C7">
              <w:rPr>
                <w:sz w:val="22"/>
                <w:highlight w:val="yellow"/>
              </w:rPr>
              <w:t>………………………..</w:t>
            </w:r>
          </w:p>
        </w:tc>
      </w:tr>
      <w:tr w:rsidR="006B6B2E" w:rsidRPr="00B47DEB" w:rsidTr="006B4AC2">
        <w:tc>
          <w:tcPr>
            <w:tcW w:w="9497" w:type="dxa"/>
            <w:gridSpan w:val="2"/>
            <w:tcBorders>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Form of testing (exam / pract. mark / other): </w:t>
            </w:r>
            <w:r w:rsidR="00C74581">
              <w:rPr>
                <w:b/>
                <w:sz w:val="22"/>
              </w:rPr>
              <w:t>practical mark</w:t>
            </w:r>
          </w:p>
          <w:p w:rsidR="006B6B2E" w:rsidRPr="00B47DEB" w:rsidRDefault="006B6B2E" w:rsidP="00AA1A9D">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bookmarkStart w:id="0" w:name="_GoBack"/>
            <w:bookmarkEnd w:id="0"/>
            <w:r w:rsidRPr="00B47DEB">
              <w:rPr>
                <w:sz w:val="22"/>
              </w:rPr>
              <w:t>knowledge testing</w:t>
            </w:r>
            <w:r w:rsidRPr="00B47DEB">
              <w:rPr>
                <w:i/>
                <w:sz w:val="21"/>
              </w:rPr>
              <w:t>(if any)</w:t>
            </w:r>
            <w:r w:rsidRPr="00B47DEB">
              <w:rPr>
                <w:sz w:val="22"/>
              </w:rPr>
              <w:t xml:space="preserve">: </w:t>
            </w:r>
            <w:r w:rsidRPr="00536E8D">
              <w:rPr>
                <w:sz w:val="22"/>
                <w:highlight w:val="yellow"/>
              </w:rPr>
              <w:t>……………………..</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C74581">
            <w:pPr>
              <w:suppressAutoHyphens/>
              <w:jc w:val="both"/>
              <w:rPr>
                <w:sz w:val="22"/>
                <w:szCs w:val="22"/>
              </w:rPr>
            </w:pPr>
            <w:r w:rsidRPr="00B47DEB">
              <w:rPr>
                <w:sz w:val="22"/>
              </w:rPr>
              <w:t xml:space="preserve">Position of the subject in the curriculum (number of the semester): </w:t>
            </w:r>
            <w:r w:rsidR="00C74581">
              <w:rPr>
                <w:b/>
                <w:sz w:val="22"/>
              </w:rPr>
              <w:t>6</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C74581">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C74581">
              <w:rPr>
                <w:b/>
                <w:sz w:val="22"/>
              </w:rPr>
              <w:t>BBNAN00900</w:t>
            </w:r>
          </w:p>
        </w:tc>
      </w:tr>
    </w:tbl>
    <w:p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rsidTr="006B4AC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C74581" w:rsidRPr="00B47DEB" w:rsidTr="006B4AC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74581" w:rsidRDefault="00C74581" w:rsidP="00C74581">
            <w:pPr>
              <w:tabs>
                <w:tab w:val="left" w:pos="9072"/>
              </w:tabs>
              <w:jc w:val="both"/>
              <w:rPr>
                <w:sz w:val="22"/>
                <w:szCs w:val="22"/>
              </w:rPr>
            </w:pPr>
            <w:r>
              <w:rPr>
                <w:sz w:val="22"/>
                <w:szCs w:val="22"/>
              </w:rPr>
              <w:t>The aim of the course is to help students get acquainted with the essential features of popular literature, both theoretical and practical aspects, including its historical development, interplay and movement between high and popular culture, adaptations from one to the other, the phenomena of cultural status, literary canon, classics and bestsellers and their relationships to each other. Besides theoretical questions, the course also offers an investigation into the most important genres of popular literature (adventure, crime, fantasy, science fiction, romance, comics, etc), either in the form of a survey course, or placing special emphasis on one individual genre.</w:t>
            </w:r>
          </w:p>
          <w:p w:rsidR="00C74581" w:rsidRPr="006117B5" w:rsidRDefault="00C74581" w:rsidP="00C74581">
            <w:pPr>
              <w:tabs>
                <w:tab w:val="left" w:pos="9072"/>
              </w:tabs>
              <w:jc w:val="both"/>
              <w:rPr>
                <w:b/>
                <w:sz w:val="22"/>
                <w:szCs w:val="22"/>
              </w:rPr>
            </w:pPr>
          </w:p>
        </w:tc>
      </w:tr>
      <w:tr w:rsidR="00C74581" w:rsidRPr="00B47DEB" w:rsidTr="006B4AC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74581" w:rsidRPr="00B47DEB" w:rsidRDefault="00C74581" w:rsidP="00C74581">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C74581" w:rsidRPr="00B47DEB" w:rsidTr="004D12EE">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tcPr>
          <w:p w:rsidR="00C74581" w:rsidRPr="006117B5" w:rsidRDefault="00C74581" w:rsidP="00C74581">
            <w:pPr>
              <w:rPr>
                <w:b/>
                <w:sz w:val="22"/>
                <w:szCs w:val="22"/>
              </w:rPr>
            </w:pPr>
            <w:r w:rsidRPr="006117B5">
              <w:rPr>
                <w:b/>
                <w:sz w:val="22"/>
                <w:szCs w:val="22"/>
              </w:rPr>
              <w:t>Required</w:t>
            </w:r>
            <w:r w:rsidRPr="006117B5">
              <w:rPr>
                <w:b/>
                <w:bCs/>
                <w:sz w:val="22"/>
                <w:szCs w:val="22"/>
              </w:rPr>
              <w:t xml:space="preserve"> reading:</w:t>
            </w:r>
          </w:p>
          <w:p w:rsidR="00C74581" w:rsidRPr="00C50CBD" w:rsidRDefault="00C74581" w:rsidP="00C74581">
            <w:pPr>
              <w:jc w:val="both"/>
              <w:rPr>
                <w:sz w:val="22"/>
                <w:szCs w:val="22"/>
              </w:rPr>
            </w:pPr>
            <w:r w:rsidRPr="00C50CBD">
              <w:rPr>
                <w:smallCaps/>
                <w:sz w:val="22"/>
                <w:szCs w:val="22"/>
                <w:lang w:val="en-GB"/>
              </w:rPr>
              <w:t>Glover</w:t>
            </w:r>
            <w:r w:rsidRPr="00C50CBD">
              <w:rPr>
                <w:i/>
                <w:sz w:val="22"/>
                <w:szCs w:val="22"/>
              </w:rPr>
              <w:t xml:space="preserve">, </w:t>
            </w:r>
            <w:r w:rsidRPr="00C50CBD">
              <w:rPr>
                <w:sz w:val="22"/>
                <w:szCs w:val="22"/>
                <w:lang w:val="en-GB"/>
              </w:rPr>
              <w:t>David, és</w:t>
            </w:r>
            <w:r w:rsidRPr="00C50CBD">
              <w:rPr>
                <w:i/>
                <w:sz w:val="22"/>
                <w:szCs w:val="22"/>
              </w:rPr>
              <w:t xml:space="preserve"> </w:t>
            </w:r>
            <w:r w:rsidRPr="00C50CBD">
              <w:rPr>
                <w:smallCaps/>
                <w:sz w:val="22"/>
                <w:szCs w:val="22"/>
                <w:lang w:val="en-GB"/>
              </w:rPr>
              <w:t>McCracken</w:t>
            </w:r>
            <w:r w:rsidRPr="00C50CBD">
              <w:rPr>
                <w:i/>
                <w:sz w:val="22"/>
                <w:szCs w:val="22"/>
              </w:rPr>
              <w:t xml:space="preserve">, </w:t>
            </w:r>
            <w:r w:rsidRPr="00C50CBD">
              <w:rPr>
                <w:sz w:val="22"/>
                <w:szCs w:val="22"/>
                <w:lang w:val="en-GB"/>
              </w:rPr>
              <w:t>Scott (</w:t>
            </w:r>
            <w:r>
              <w:rPr>
                <w:sz w:val="22"/>
                <w:szCs w:val="22"/>
                <w:lang w:val="en-GB"/>
              </w:rPr>
              <w:t>ed</w:t>
            </w:r>
            <w:r w:rsidRPr="00C50CBD">
              <w:rPr>
                <w:sz w:val="22"/>
                <w:szCs w:val="22"/>
                <w:lang w:val="en-GB"/>
              </w:rPr>
              <w:t xml:space="preserve">.), </w:t>
            </w:r>
            <w:r w:rsidRPr="00C50CBD">
              <w:rPr>
                <w:i/>
                <w:sz w:val="22"/>
                <w:szCs w:val="22"/>
              </w:rPr>
              <w:t>The Cambridge Companion to Popular Fiction</w:t>
            </w:r>
            <w:r w:rsidRPr="00C50CBD">
              <w:rPr>
                <w:sz w:val="22"/>
                <w:szCs w:val="22"/>
              </w:rPr>
              <w:t>, Cambridge, Cambridge University Press, 2012, ISBN 978-0-521-73496-7</w:t>
            </w:r>
          </w:p>
          <w:p w:rsidR="00C74581" w:rsidRPr="00C50CBD" w:rsidRDefault="00C74581" w:rsidP="00C74581">
            <w:pPr>
              <w:jc w:val="both"/>
              <w:rPr>
                <w:sz w:val="22"/>
                <w:szCs w:val="22"/>
              </w:rPr>
            </w:pPr>
            <w:r w:rsidRPr="00C50CBD">
              <w:rPr>
                <w:smallCaps/>
                <w:sz w:val="22"/>
                <w:szCs w:val="22"/>
                <w:lang w:val="en-GB"/>
              </w:rPr>
              <w:t>James</w:t>
            </w:r>
            <w:r w:rsidRPr="00C50CBD">
              <w:rPr>
                <w:i/>
                <w:sz w:val="22"/>
                <w:szCs w:val="22"/>
              </w:rPr>
              <w:t xml:space="preserve">, </w:t>
            </w:r>
            <w:r w:rsidRPr="00C50CBD">
              <w:rPr>
                <w:sz w:val="22"/>
                <w:szCs w:val="22"/>
              </w:rPr>
              <w:t>Edward</w:t>
            </w:r>
            <w:r w:rsidRPr="00C50CBD">
              <w:rPr>
                <w:sz w:val="22"/>
                <w:szCs w:val="22"/>
                <w:lang w:val="en-GB"/>
              </w:rPr>
              <w:t>, és</w:t>
            </w:r>
            <w:r w:rsidRPr="00C50CBD">
              <w:rPr>
                <w:i/>
                <w:sz w:val="22"/>
                <w:szCs w:val="22"/>
              </w:rPr>
              <w:t xml:space="preserve"> </w:t>
            </w:r>
            <w:r w:rsidRPr="00C50CBD">
              <w:rPr>
                <w:smallCaps/>
                <w:sz w:val="22"/>
                <w:szCs w:val="22"/>
                <w:lang w:val="en-GB"/>
              </w:rPr>
              <w:t>Mendlesohn</w:t>
            </w:r>
            <w:r w:rsidRPr="00C50CBD">
              <w:rPr>
                <w:i/>
                <w:sz w:val="22"/>
                <w:szCs w:val="22"/>
              </w:rPr>
              <w:t xml:space="preserve">, </w:t>
            </w:r>
            <w:r w:rsidRPr="00C50CBD">
              <w:rPr>
                <w:sz w:val="22"/>
                <w:szCs w:val="22"/>
                <w:lang w:val="en-GB"/>
              </w:rPr>
              <w:t>Farah (</w:t>
            </w:r>
            <w:r>
              <w:rPr>
                <w:sz w:val="22"/>
                <w:szCs w:val="22"/>
                <w:lang w:val="en-GB"/>
              </w:rPr>
              <w:t>ed</w:t>
            </w:r>
            <w:r w:rsidRPr="00C50CBD">
              <w:rPr>
                <w:sz w:val="22"/>
                <w:szCs w:val="22"/>
                <w:lang w:val="en-GB"/>
              </w:rPr>
              <w:t xml:space="preserve">.), </w:t>
            </w:r>
            <w:r w:rsidRPr="00C50CBD">
              <w:rPr>
                <w:i/>
                <w:sz w:val="22"/>
                <w:szCs w:val="22"/>
              </w:rPr>
              <w:t>The Cambridge Companion to Fantasy Literature</w:t>
            </w:r>
            <w:r w:rsidRPr="00C50CBD">
              <w:rPr>
                <w:sz w:val="22"/>
                <w:szCs w:val="22"/>
              </w:rPr>
              <w:t>, Cambridge, Cambridge University Press, 2012, ISBN 978-0-521-72873-7</w:t>
            </w:r>
          </w:p>
          <w:p w:rsidR="00C74581" w:rsidRPr="00C50CBD" w:rsidRDefault="00C74581" w:rsidP="00C74581">
            <w:pPr>
              <w:jc w:val="both"/>
              <w:rPr>
                <w:bCs/>
                <w:sz w:val="22"/>
                <w:szCs w:val="22"/>
              </w:rPr>
            </w:pPr>
            <w:r w:rsidRPr="00C50CBD">
              <w:rPr>
                <w:smallCaps/>
                <w:sz w:val="22"/>
                <w:szCs w:val="22"/>
                <w:lang w:val="en-GB"/>
              </w:rPr>
              <w:t>Whissen</w:t>
            </w:r>
            <w:r w:rsidRPr="00C50CBD">
              <w:rPr>
                <w:bCs/>
                <w:sz w:val="22"/>
                <w:szCs w:val="22"/>
              </w:rPr>
              <w:t xml:space="preserve">, Thomas Reed, </w:t>
            </w:r>
            <w:r w:rsidRPr="00C50CBD">
              <w:rPr>
                <w:bCs/>
                <w:i/>
                <w:iCs/>
                <w:sz w:val="22"/>
                <w:szCs w:val="22"/>
              </w:rPr>
              <w:t>Classic Cult Fiction: A Companion to Popular Cult Literature</w:t>
            </w:r>
            <w:r w:rsidRPr="00C50CBD">
              <w:rPr>
                <w:bCs/>
                <w:sz w:val="22"/>
                <w:szCs w:val="22"/>
              </w:rPr>
              <w:t xml:space="preserve">, </w:t>
            </w:r>
            <w:smartTag w:uri="urn:schemas-microsoft-com:office:smarttags" w:element="State">
              <w:smartTag w:uri="urn:schemas-microsoft-com:office:smarttags" w:element="place">
                <w:r w:rsidRPr="00C50CBD">
                  <w:rPr>
                    <w:bCs/>
                    <w:sz w:val="22"/>
                    <w:szCs w:val="22"/>
                  </w:rPr>
                  <w:t>New York</w:t>
                </w:r>
              </w:smartTag>
            </w:smartTag>
            <w:r w:rsidRPr="00C50CBD">
              <w:rPr>
                <w:bCs/>
                <w:sz w:val="22"/>
                <w:szCs w:val="22"/>
              </w:rPr>
              <w:t xml:space="preserve">, </w:t>
            </w:r>
            <w:smartTag w:uri="urn:schemas-microsoft-com:office:smarttags" w:element="City">
              <w:smartTag w:uri="urn:schemas-microsoft-com:office:smarttags" w:element="place">
                <w:r w:rsidRPr="00C50CBD">
                  <w:rPr>
                    <w:bCs/>
                    <w:sz w:val="22"/>
                    <w:szCs w:val="22"/>
                  </w:rPr>
                  <w:t>Greenwood</w:t>
                </w:r>
              </w:smartTag>
            </w:smartTag>
            <w:r w:rsidRPr="00C50CBD">
              <w:rPr>
                <w:bCs/>
                <w:sz w:val="22"/>
                <w:szCs w:val="22"/>
              </w:rPr>
              <w:t xml:space="preserve">, 1992, </w:t>
            </w:r>
            <w:r>
              <w:rPr>
                <w:bCs/>
                <w:sz w:val="22"/>
                <w:szCs w:val="22"/>
              </w:rPr>
              <w:t xml:space="preserve">ISBN </w:t>
            </w:r>
            <w:r w:rsidRPr="00C50CBD">
              <w:rPr>
                <w:sz w:val="22"/>
                <w:szCs w:val="22"/>
              </w:rPr>
              <w:t>978-0</w:t>
            </w:r>
            <w:r>
              <w:rPr>
                <w:sz w:val="22"/>
                <w:szCs w:val="22"/>
              </w:rPr>
              <w:t>-</w:t>
            </w:r>
            <w:r w:rsidRPr="00C50CBD">
              <w:rPr>
                <w:sz w:val="22"/>
                <w:szCs w:val="22"/>
              </w:rPr>
              <w:t>313</w:t>
            </w:r>
            <w:r>
              <w:rPr>
                <w:sz w:val="22"/>
                <w:szCs w:val="22"/>
              </w:rPr>
              <w:t>-</w:t>
            </w:r>
            <w:r w:rsidRPr="00C50CBD">
              <w:rPr>
                <w:sz w:val="22"/>
                <w:szCs w:val="22"/>
              </w:rPr>
              <w:t>26550</w:t>
            </w:r>
            <w:r>
              <w:rPr>
                <w:sz w:val="22"/>
                <w:szCs w:val="22"/>
              </w:rPr>
              <w:t>-</w:t>
            </w:r>
            <w:r w:rsidRPr="00C50CBD">
              <w:rPr>
                <w:sz w:val="22"/>
                <w:szCs w:val="22"/>
              </w:rPr>
              <w:t>1</w:t>
            </w:r>
          </w:p>
          <w:p w:rsidR="00C74581" w:rsidRDefault="00C74581" w:rsidP="00C74581">
            <w:pPr>
              <w:jc w:val="both"/>
              <w:rPr>
                <w:bCs/>
                <w:sz w:val="24"/>
                <w:szCs w:val="24"/>
              </w:rPr>
            </w:pPr>
            <w:r w:rsidRPr="00B4162A">
              <w:rPr>
                <w:smallCaps/>
                <w:sz w:val="22"/>
                <w:szCs w:val="22"/>
                <w:lang w:val="en-GB"/>
              </w:rPr>
              <w:t>Storey</w:t>
            </w:r>
            <w:r>
              <w:rPr>
                <w:bCs/>
                <w:sz w:val="24"/>
                <w:szCs w:val="24"/>
              </w:rPr>
              <w:t xml:space="preserve">, John, </w:t>
            </w:r>
            <w:r>
              <w:rPr>
                <w:bCs/>
                <w:i/>
                <w:iCs/>
                <w:sz w:val="24"/>
                <w:szCs w:val="24"/>
              </w:rPr>
              <w:t>Cultural Theory and Popular Culture: An Introduction</w:t>
            </w:r>
            <w:r>
              <w:rPr>
                <w:bCs/>
                <w:sz w:val="24"/>
                <w:szCs w:val="24"/>
              </w:rPr>
              <w:t xml:space="preserve">, Pearson, 2009, </w:t>
            </w:r>
            <w:r w:rsidRPr="00B4162A">
              <w:rPr>
                <w:bCs/>
                <w:sz w:val="22"/>
                <w:szCs w:val="22"/>
              </w:rPr>
              <w:t>I</w:t>
            </w:r>
            <w:r w:rsidRPr="00B4162A">
              <w:rPr>
                <w:sz w:val="22"/>
                <w:szCs w:val="22"/>
              </w:rPr>
              <w:t>SBN</w:t>
            </w:r>
            <w:r w:rsidRPr="00C50CBD">
              <w:rPr>
                <w:sz w:val="22"/>
                <w:szCs w:val="22"/>
              </w:rPr>
              <w:t>-13: 9781405874090</w:t>
            </w:r>
          </w:p>
          <w:p w:rsidR="00C74581" w:rsidRDefault="00C74581" w:rsidP="00C74581">
            <w:pPr>
              <w:tabs>
                <w:tab w:val="left" w:pos="9072"/>
              </w:tabs>
              <w:jc w:val="both"/>
              <w:rPr>
                <w:b/>
                <w:sz w:val="22"/>
                <w:szCs w:val="22"/>
              </w:rPr>
            </w:pPr>
          </w:p>
          <w:p w:rsidR="00C74581" w:rsidRPr="006117B5" w:rsidRDefault="00C74581" w:rsidP="00C74581">
            <w:pPr>
              <w:tabs>
                <w:tab w:val="left" w:pos="9072"/>
              </w:tabs>
              <w:rPr>
                <w:b/>
                <w:smallCaps/>
                <w:sz w:val="22"/>
                <w:szCs w:val="22"/>
              </w:rPr>
            </w:pPr>
            <w:r w:rsidRPr="006117B5">
              <w:rPr>
                <w:b/>
                <w:sz w:val="22"/>
                <w:szCs w:val="22"/>
              </w:rPr>
              <w:t>Recommended reading:</w:t>
            </w:r>
          </w:p>
          <w:p w:rsidR="00C74581" w:rsidRDefault="00C74581" w:rsidP="00C74581">
            <w:pPr>
              <w:jc w:val="both"/>
              <w:rPr>
                <w:smallCaps/>
                <w:sz w:val="22"/>
                <w:szCs w:val="22"/>
                <w:lang w:val="en-GB"/>
              </w:rPr>
            </w:pPr>
            <w:r>
              <w:rPr>
                <w:smallCaps/>
                <w:sz w:val="22"/>
                <w:szCs w:val="22"/>
                <w:lang w:val="en-GB"/>
              </w:rPr>
              <w:t xml:space="preserve">Kukkonen, </w:t>
            </w:r>
            <w:r w:rsidRPr="00B4162A">
              <w:rPr>
                <w:sz w:val="22"/>
                <w:szCs w:val="22"/>
                <w:lang w:val="en-GB"/>
              </w:rPr>
              <w:t>Karin</w:t>
            </w:r>
            <w:r>
              <w:rPr>
                <w:smallCaps/>
                <w:sz w:val="22"/>
                <w:szCs w:val="22"/>
                <w:lang w:val="en-GB"/>
              </w:rPr>
              <w:t xml:space="preserve">, </w:t>
            </w:r>
            <w:r w:rsidRPr="00B4162A">
              <w:rPr>
                <w:i/>
                <w:sz w:val="22"/>
                <w:szCs w:val="22"/>
              </w:rPr>
              <w:t>Studying Comics and Graphic Novels</w:t>
            </w:r>
            <w:r>
              <w:rPr>
                <w:smallCaps/>
                <w:sz w:val="22"/>
                <w:szCs w:val="22"/>
                <w:lang w:val="en-GB"/>
              </w:rPr>
              <w:t xml:space="preserve">, </w:t>
            </w:r>
            <w:smartTag w:uri="urn:schemas-microsoft-com:office:smarttags" w:element="City">
              <w:smartTag w:uri="urn:schemas-microsoft-com:office:smarttags" w:element="place">
                <w:r>
                  <w:rPr>
                    <w:bCs/>
                    <w:sz w:val="24"/>
                    <w:szCs w:val="24"/>
                  </w:rPr>
                  <w:t>Oxford</w:t>
                </w:r>
              </w:smartTag>
            </w:smartTag>
            <w:r>
              <w:rPr>
                <w:bCs/>
                <w:sz w:val="24"/>
                <w:szCs w:val="24"/>
              </w:rPr>
              <w:t xml:space="preserve"> and </w:t>
            </w:r>
            <w:smartTag w:uri="urn:schemas-microsoft-com:office:smarttags" w:element="City">
              <w:smartTag w:uri="urn:schemas-microsoft-com:office:smarttags" w:element="place">
                <w:r>
                  <w:rPr>
                    <w:bCs/>
                    <w:sz w:val="24"/>
                    <w:szCs w:val="24"/>
                  </w:rPr>
                  <w:t>Malden</w:t>
                </w:r>
              </w:smartTag>
            </w:smartTag>
            <w:r>
              <w:rPr>
                <w:bCs/>
                <w:sz w:val="24"/>
                <w:szCs w:val="24"/>
              </w:rPr>
              <w:t>, Blackwell</w:t>
            </w:r>
            <w:r w:rsidRPr="00B4162A">
              <w:rPr>
                <w:sz w:val="22"/>
                <w:szCs w:val="22"/>
              </w:rPr>
              <w:t>,</w:t>
            </w:r>
            <w:r>
              <w:rPr>
                <w:smallCaps/>
                <w:sz w:val="22"/>
                <w:szCs w:val="22"/>
                <w:lang w:val="en-GB"/>
              </w:rPr>
              <w:t xml:space="preserve"> 2013, ISBN 978-1-118-49992-4</w:t>
            </w:r>
          </w:p>
          <w:p w:rsidR="00C74581" w:rsidRPr="00F4086D" w:rsidRDefault="00C74581" w:rsidP="00C74581">
            <w:pPr>
              <w:jc w:val="both"/>
              <w:rPr>
                <w:sz w:val="22"/>
                <w:szCs w:val="22"/>
              </w:rPr>
            </w:pPr>
            <w:r w:rsidRPr="00B4162A">
              <w:rPr>
                <w:smallCaps/>
                <w:sz w:val="22"/>
                <w:szCs w:val="22"/>
                <w:lang w:val="en-GB"/>
              </w:rPr>
              <w:t>Simons</w:t>
            </w:r>
            <w:r>
              <w:rPr>
                <w:bCs/>
                <w:sz w:val="24"/>
                <w:szCs w:val="24"/>
              </w:rPr>
              <w:t xml:space="preserve">, Judy, “Jane Austen and Popular Culture”, in </w:t>
            </w:r>
            <w:r>
              <w:rPr>
                <w:bCs/>
                <w:i/>
                <w:iCs/>
                <w:sz w:val="24"/>
                <w:szCs w:val="24"/>
              </w:rPr>
              <w:t>A Companion to Jane Austen,</w:t>
            </w:r>
            <w:r>
              <w:rPr>
                <w:bCs/>
                <w:sz w:val="24"/>
                <w:szCs w:val="24"/>
              </w:rPr>
              <w:t xml:space="preserve"> ed. Claudia L. Johnson and Clara Tuite, Oxford and Malden, Blackwell, 2009,</w:t>
            </w:r>
            <w:r w:rsidRPr="00F4086D">
              <w:rPr>
                <w:sz w:val="22"/>
                <w:szCs w:val="22"/>
              </w:rPr>
              <w:t xml:space="preserve"> ISBN: 978-1-4051-4909-9</w:t>
            </w:r>
          </w:p>
          <w:p w:rsidR="00C74581" w:rsidRDefault="00C74581" w:rsidP="00C74581">
            <w:pPr>
              <w:jc w:val="both"/>
              <w:rPr>
                <w:bCs/>
                <w:sz w:val="24"/>
                <w:szCs w:val="24"/>
              </w:rPr>
            </w:pPr>
            <w:r w:rsidRPr="00B4162A">
              <w:rPr>
                <w:smallCaps/>
                <w:sz w:val="22"/>
                <w:szCs w:val="22"/>
                <w:lang w:val="en-GB"/>
              </w:rPr>
              <w:t>John</w:t>
            </w:r>
            <w:r>
              <w:rPr>
                <w:smallCaps/>
                <w:sz w:val="22"/>
                <w:szCs w:val="22"/>
                <w:lang w:val="en-GB"/>
              </w:rPr>
              <w:t xml:space="preserve">, </w:t>
            </w:r>
            <w:r>
              <w:rPr>
                <w:bCs/>
                <w:sz w:val="24"/>
                <w:szCs w:val="24"/>
              </w:rPr>
              <w:t xml:space="preserve">Juliet, “The Novels and Popular Culture”, in </w:t>
            </w:r>
            <w:r>
              <w:rPr>
                <w:bCs/>
                <w:i/>
                <w:iCs/>
                <w:sz w:val="24"/>
                <w:szCs w:val="24"/>
              </w:rPr>
              <w:t>A Companion to Charles Dickens</w:t>
            </w:r>
            <w:r>
              <w:rPr>
                <w:bCs/>
                <w:sz w:val="24"/>
                <w:szCs w:val="24"/>
              </w:rPr>
              <w:t>, ed. David Paroissien, Oxford and Malden, Blackwell, 2008,</w:t>
            </w:r>
            <w:r w:rsidRPr="00F4086D">
              <w:rPr>
                <w:sz w:val="22"/>
                <w:szCs w:val="22"/>
              </w:rPr>
              <w:t xml:space="preserve"> ISBN:</w:t>
            </w:r>
            <w:r>
              <w:rPr>
                <w:sz w:val="22"/>
                <w:szCs w:val="22"/>
              </w:rPr>
              <w:t xml:space="preserve"> </w:t>
            </w:r>
            <w:r w:rsidRPr="00F4086D">
              <w:rPr>
                <w:sz w:val="22"/>
                <w:szCs w:val="22"/>
              </w:rPr>
              <w:t>978-1-405-13097-4</w:t>
            </w:r>
          </w:p>
          <w:p w:rsidR="00C74581" w:rsidRPr="006117B5" w:rsidRDefault="00C74581" w:rsidP="00C74581">
            <w:pPr>
              <w:tabs>
                <w:tab w:val="left" w:pos="9072"/>
              </w:tabs>
              <w:rPr>
                <w:sz w:val="22"/>
                <w:szCs w:val="22"/>
              </w:rPr>
            </w:pPr>
          </w:p>
        </w:tc>
      </w:tr>
    </w:tbl>
    <w:p w:rsidR="00156CC1" w:rsidRDefault="00156CC1" w:rsidP="006B6B2E"/>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C5" w:rsidRDefault="009979C5" w:rsidP="006B6B2E">
      <w:r>
        <w:separator/>
      </w:r>
    </w:p>
  </w:endnote>
  <w:endnote w:type="continuationSeparator" w:id="0">
    <w:p w:rsidR="009979C5" w:rsidRDefault="009979C5"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C5" w:rsidRDefault="009979C5" w:rsidP="006B6B2E">
      <w:r>
        <w:separator/>
      </w:r>
    </w:p>
  </w:footnote>
  <w:footnote w:type="continuationSeparator" w:id="0">
    <w:p w:rsidR="009979C5" w:rsidRDefault="009979C5" w:rsidP="006B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E"/>
    <w:rsid w:val="00156CC1"/>
    <w:rsid w:val="002E7B4E"/>
    <w:rsid w:val="003B6641"/>
    <w:rsid w:val="00455CDD"/>
    <w:rsid w:val="00473AD4"/>
    <w:rsid w:val="00536E8D"/>
    <w:rsid w:val="005C71EF"/>
    <w:rsid w:val="006B006A"/>
    <w:rsid w:val="006B6B2E"/>
    <w:rsid w:val="00805539"/>
    <w:rsid w:val="008C48C7"/>
    <w:rsid w:val="009979C5"/>
    <w:rsid w:val="00AA1A9D"/>
    <w:rsid w:val="00B457B2"/>
    <w:rsid w:val="00C74581"/>
    <w:rsid w:val="00E079AF"/>
    <w:rsid w:val="00EA0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AAFB511-8BC4-45C1-841C-3264179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2466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3</cp:revision>
  <dcterms:created xsi:type="dcterms:W3CDTF">2017-01-31T09:06:00Z</dcterms:created>
  <dcterms:modified xsi:type="dcterms:W3CDTF">2018-08-31T19:56:00Z</dcterms:modified>
</cp:coreProperties>
</file>