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6624"/>
        <w:gridCol w:w="2192"/>
      </w:tblGrid>
      <w:tr w:rsidR="00D760C4" w:rsidRPr="006117B5" w:rsidTr="00D760C4">
        <w:tc>
          <w:tcPr>
            <w:tcW w:w="6624" w:type="dxa"/>
            <w:tcBorders>
              <w:top w:val="single" w:sz="2" w:space="0" w:color="808080"/>
              <w:left w:val="single" w:sz="2" w:space="0" w:color="808080"/>
              <w:bottom w:val="single" w:sz="2" w:space="0" w:color="808080"/>
              <w:right w:val="single" w:sz="2" w:space="0" w:color="808080"/>
            </w:tcBorders>
            <w:shd w:val="clear" w:color="auto" w:fill="auto"/>
            <w:tcMar>
              <w:top w:w="57" w:type="dxa"/>
              <w:bottom w:w="57" w:type="dxa"/>
            </w:tcMar>
            <w:vAlign w:val="center"/>
          </w:tcPr>
          <w:p w:rsidR="00D760C4" w:rsidRPr="006117B5" w:rsidRDefault="00D760C4" w:rsidP="00F36F85">
            <w:pPr>
              <w:rPr>
                <w:b/>
                <w:sz w:val="22"/>
                <w:szCs w:val="22"/>
              </w:rPr>
            </w:pPr>
            <w:r w:rsidRPr="006117B5">
              <w:rPr>
                <w:b/>
                <w:sz w:val="22"/>
                <w:szCs w:val="22"/>
              </w:rPr>
              <w:t xml:space="preserve">Course Title: </w:t>
            </w:r>
            <w:r>
              <w:rPr>
                <w:b/>
                <w:sz w:val="22"/>
                <w:szCs w:val="22"/>
              </w:rPr>
              <w:t>Modern English Drama and Theatre</w:t>
            </w:r>
          </w:p>
        </w:tc>
        <w:tc>
          <w:tcPr>
            <w:tcW w:w="2192" w:type="dxa"/>
            <w:tcBorders>
              <w:top w:val="single" w:sz="2" w:space="0" w:color="808080"/>
              <w:left w:val="single" w:sz="2" w:space="0" w:color="808080"/>
              <w:bottom w:val="single" w:sz="2" w:space="0" w:color="808080"/>
              <w:right w:val="single" w:sz="2" w:space="0" w:color="808080"/>
            </w:tcBorders>
            <w:shd w:val="clear" w:color="auto" w:fill="auto"/>
            <w:tcMar>
              <w:top w:w="57" w:type="dxa"/>
              <w:bottom w:w="57" w:type="dxa"/>
            </w:tcMar>
            <w:vAlign w:val="center"/>
          </w:tcPr>
          <w:p w:rsidR="00D760C4" w:rsidRPr="006117B5" w:rsidRDefault="00D760C4" w:rsidP="00F36F85">
            <w:pPr>
              <w:spacing w:before="60"/>
              <w:rPr>
                <w:b/>
                <w:sz w:val="22"/>
                <w:szCs w:val="22"/>
              </w:rPr>
            </w:pPr>
            <w:r w:rsidRPr="006117B5">
              <w:rPr>
                <w:b/>
                <w:sz w:val="22"/>
                <w:szCs w:val="22"/>
              </w:rPr>
              <w:t xml:space="preserve">Credits: </w:t>
            </w:r>
            <w:r>
              <w:rPr>
                <w:b/>
                <w:sz w:val="22"/>
                <w:szCs w:val="22"/>
              </w:rPr>
              <w:t>3</w:t>
            </w:r>
          </w:p>
        </w:tc>
      </w:tr>
      <w:tr w:rsidR="00D760C4" w:rsidRPr="006117B5" w:rsidTr="00D760C4">
        <w:tc>
          <w:tcPr>
            <w:tcW w:w="8816" w:type="dxa"/>
            <w:gridSpan w:val="2"/>
            <w:shd w:val="clear" w:color="auto" w:fill="auto"/>
            <w:tcMar>
              <w:top w:w="57" w:type="dxa"/>
              <w:bottom w:w="57" w:type="dxa"/>
            </w:tcMar>
          </w:tcPr>
          <w:p w:rsidR="00D760C4" w:rsidRPr="006117B5" w:rsidRDefault="00D760C4" w:rsidP="00F36F85">
            <w:pPr>
              <w:jc w:val="both"/>
              <w:rPr>
                <w:sz w:val="22"/>
                <w:szCs w:val="22"/>
              </w:rPr>
            </w:pPr>
            <w:r w:rsidRPr="006117B5">
              <w:rPr>
                <w:b/>
                <w:sz w:val="22"/>
                <w:szCs w:val="22"/>
              </w:rPr>
              <w:t>Type of course</w:t>
            </w:r>
            <w:r w:rsidRPr="006117B5">
              <w:rPr>
                <w:sz w:val="22"/>
                <w:szCs w:val="22"/>
              </w:rPr>
              <w:t xml:space="preserve"> (lecture/seminar) </w:t>
            </w:r>
            <w:r w:rsidRPr="00C1577A">
              <w:rPr>
                <w:b/>
                <w:sz w:val="22"/>
                <w:szCs w:val="22"/>
              </w:rPr>
              <w:t>seminar</w:t>
            </w:r>
            <w:r w:rsidRPr="006117B5">
              <w:rPr>
                <w:sz w:val="22"/>
                <w:szCs w:val="22"/>
              </w:rPr>
              <w:t xml:space="preserve"> and hours per week/semester: </w:t>
            </w:r>
            <w:r w:rsidRPr="00C1577A">
              <w:rPr>
                <w:b/>
                <w:sz w:val="22"/>
                <w:szCs w:val="22"/>
              </w:rPr>
              <w:t>2/30</w:t>
            </w:r>
          </w:p>
        </w:tc>
      </w:tr>
      <w:tr w:rsidR="00D760C4" w:rsidRPr="006117B5" w:rsidTr="00D760C4">
        <w:tc>
          <w:tcPr>
            <w:tcW w:w="8816" w:type="dxa"/>
            <w:gridSpan w:val="2"/>
            <w:shd w:val="clear" w:color="auto" w:fill="auto"/>
            <w:tcMar>
              <w:top w:w="57" w:type="dxa"/>
              <w:bottom w:w="57" w:type="dxa"/>
            </w:tcMar>
          </w:tcPr>
          <w:p w:rsidR="00D760C4" w:rsidRPr="006117B5" w:rsidRDefault="00D760C4" w:rsidP="00F36F85">
            <w:pPr>
              <w:jc w:val="both"/>
              <w:rPr>
                <w:b/>
                <w:sz w:val="22"/>
                <w:szCs w:val="22"/>
              </w:rPr>
            </w:pPr>
            <w:r w:rsidRPr="006117B5">
              <w:rPr>
                <w:b/>
                <w:sz w:val="22"/>
                <w:szCs w:val="22"/>
              </w:rPr>
              <w:t>Method of assessment</w:t>
            </w:r>
            <w:r w:rsidRPr="006117B5">
              <w:rPr>
                <w:sz w:val="22"/>
                <w:szCs w:val="22"/>
              </w:rPr>
              <w:t xml:space="preserve"> (exam/practical grade): </w:t>
            </w:r>
            <w:r w:rsidRPr="00C1577A">
              <w:rPr>
                <w:b/>
                <w:sz w:val="22"/>
                <w:szCs w:val="22"/>
              </w:rPr>
              <w:t>practical grade</w:t>
            </w:r>
          </w:p>
        </w:tc>
      </w:tr>
      <w:tr w:rsidR="00D760C4" w:rsidRPr="006117B5" w:rsidTr="00D760C4">
        <w:tc>
          <w:tcPr>
            <w:tcW w:w="8816" w:type="dxa"/>
            <w:gridSpan w:val="2"/>
            <w:shd w:val="clear" w:color="auto" w:fill="auto"/>
            <w:tcMar>
              <w:top w:w="57" w:type="dxa"/>
              <w:bottom w:w="57" w:type="dxa"/>
            </w:tcMar>
          </w:tcPr>
          <w:p w:rsidR="00D760C4" w:rsidRPr="006117B5" w:rsidRDefault="00D760C4" w:rsidP="00F36F85">
            <w:pPr>
              <w:jc w:val="both"/>
              <w:rPr>
                <w:b/>
                <w:sz w:val="22"/>
                <w:szCs w:val="22"/>
              </w:rPr>
            </w:pPr>
            <w:r w:rsidRPr="006117B5">
              <w:rPr>
                <w:b/>
                <w:sz w:val="22"/>
                <w:szCs w:val="22"/>
              </w:rPr>
              <w:t>Suggested semester</w:t>
            </w:r>
            <w:r w:rsidRPr="006117B5">
              <w:rPr>
                <w:sz w:val="22"/>
                <w:szCs w:val="22"/>
              </w:rPr>
              <w:t xml:space="preserve">: </w:t>
            </w:r>
            <w:r w:rsidRPr="00C1577A">
              <w:rPr>
                <w:b/>
                <w:sz w:val="22"/>
                <w:szCs w:val="22"/>
              </w:rPr>
              <w:t>5</w:t>
            </w:r>
            <w:r>
              <w:rPr>
                <w:b/>
                <w:sz w:val="22"/>
                <w:szCs w:val="22"/>
              </w:rPr>
              <w:t>th</w:t>
            </w:r>
          </w:p>
        </w:tc>
      </w:tr>
      <w:tr w:rsidR="00D760C4" w:rsidRPr="006117B5" w:rsidTr="00D760C4">
        <w:tc>
          <w:tcPr>
            <w:tcW w:w="8816" w:type="dxa"/>
            <w:gridSpan w:val="2"/>
            <w:shd w:val="clear" w:color="auto" w:fill="auto"/>
            <w:tcMar>
              <w:top w:w="57" w:type="dxa"/>
              <w:bottom w:w="57" w:type="dxa"/>
            </w:tcMar>
          </w:tcPr>
          <w:p w:rsidR="00D760C4" w:rsidRPr="006117B5" w:rsidRDefault="00D760C4" w:rsidP="00F36F85">
            <w:pPr>
              <w:jc w:val="both"/>
              <w:rPr>
                <w:sz w:val="22"/>
                <w:szCs w:val="22"/>
              </w:rPr>
            </w:pPr>
            <w:r w:rsidRPr="006117B5">
              <w:rPr>
                <w:b/>
                <w:sz w:val="22"/>
                <w:szCs w:val="22"/>
              </w:rPr>
              <w:t xml:space="preserve">Prerequisites </w:t>
            </w:r>
            <w:r w:rsidRPr="006117B5">
              <w:rPr>
                <w:i/>
                <w:sz w:val="22"/>
                <w:szCs w:val="22"/>
              </w:rPr>
              <w:t>(if any)</w:t>
            </w:r>
            <w:r w:rsidRPr="006117B5">
              <w:rPr>
                <w:sz w:val="22"/>
                <w:szCs w:val="22"/>
              </w:rPr>
              <w:t>:</w:t>
            </w:r>
            <w:r w:rsidRPr="006117B5">
              <w:rPr>
                <w:i/>
                <w:sz w:val="22"/>
                <w:szCs w:val="22"/>
              </w:rPr>
              <w:t xml:space="preserve"> </w:t>
            </w:r>
            <w:r w:rsidRPr="00C1577A">
              <w:rPr>
                <w:b/>
                <w:sz w:val="22"/>
                <w:szCs w:val="22"/>
              </w:rPr>
              <w:t>Language competence exam</w:t>
            </w:r>
          </w:p>
        </w:tc>
      </w:tr>
      <w:tr w:rsidR="00D760C4" w:rsidRPr="006117B5" w:rsidTr="00D760C4">
        <w:tc>
          <w:tcPr>
            <w:tcW w:w="8816" w:type="dxa"/>
            <w:gridSpan w:val="2"/>
            <w:shd w:val="clear" w:color="auto" w:fill="auto"/>
            <w:tcMar>
              <w:top w:w="57" w:type="dxa"/>
              <w:bottom w:w="57" w:type="dxa"/>
            </w:tcMar>
          </w:tcPr>
          <w:p w:rsidR="00D760C4" w:rsidRPr="006117B5" w:rsidRDefault="00D760C4" w:rsidP="00F36F85">
            <w:pPr>
              <w:jc w:val="both"/>
              <w:rPr>
                <w:b/>
                <w:sz w:val="22"/>
                <w:szCs w:val="22"/>
              </w:rPr>
            </w:pPr>
            <w:r w:rsidRPr="006117B5">
              <w:rPr>
                <w:b/>
                <w:sz w:val="22"/>
                <w:szCs w:val="22"/>
              </w:rPr>
              <w:t>Course description</w:t>
            </w:r>
            <w:r w:rsidRPr="006117B5">
              <w:rPr>
                <w:sz w:val="22"/>
                <w:szCs w:val="22"/>
              </w:rPr>
              <w:t xml:space="preserve">: </w:t>
            </w:r>
          </w:p>
        </w:tc>
      </w:tr>
      <w:tr w:rsidR="00D760C4" w:rsidRPr="006117B5" w:rsidTr="00D760C4">
        <w:trPr>
          <w:trHeight w:val="280"/>
        </w:trPr>
        <w:tc>
          <w:tcPr>
            <w:tcW w:w="8816" w:type="dxa"/>
            <w:gridSpan w:val="2"/>
            <w:shd w:val="clear" w:color="auto" w:fill="FFFF99"/>
            <w:tcMar>
              <w:top w:w="57" w:type="dxa"/>
              <w:bottom w:w="57" w:type="dxa"/>
            </w:tcMar>
          </w:tcPr>
          <w:p w:rsidR="00D760C4" w:rsidRPr="00335636" w:rsidRDefault="00D760C4" w:rsidP="00F36F85">
            <w:pPr>
              <w:tabs>
                <w:tab w:val="left" w:pos="9072"/>
              </w:tabs>
              <w:jc w:val="both"/>
              <w:rPr>
                <w:sz w:val="22"/>
                <w:szCs w:val="22"/>
                <w:lang w:val="en-GB"/>
              </w:rPr>
            </w:pPr>
            <w:r w:rsidRPr="00335636">
              <w:rPr>
                <w:sz w:val="22"/>
                <w:szCs w:val="22"/>
                <w:lang w:val="en-GB"/>
              </w:rPr>
              <w:t>Drama is the both a sensitive and an immediate response to and also a record of a given moment in cultural life, topically replicated in theatre productions. This course has been designed to offer courses which (though with differences in their emphases) deal with the most recent changes in drama history, adaptation studies and performance criticism; and also to acquaint students with the English</w:t>
            </w:r>
            <w:r>
              <w:rPr>
                <w:sz w:val="22"/>
                <w:szCs w:val="22"/>
                <w:lang w:val="en-GB"/>
              </w:rPr>
              <w:t xml:space="preserve"> speaking</w:t>
            </w:r>
            <w:r w:rsidRPr="00335636">
              <w:rPr>
                <w:sz w:val="22"/>
                <w:szCs w:val="22"/>
                <w:lang w:val="en-GB"/>
              </w:rPr>
              <w:t xml:space="preserve">/British dramatic literature and the playwrights of the 1990s and 2000s. The aim of the course is twofold: on the one hand it will develop the reading, and within that, drama reading </w:t>
            </w:r>
            <w:r>
              <w:rPr>
                <w:sz w:val="22"/>
                <w:szCs w:val="22"/>
                <w:lang w:val="en-GB"/>
              </w:rPr>
              <w:t xml:space="preserve">and interpreting </w:t>
            </w:r>
            <w:r w:rsidRPr="00335636">
              <w:rPr>
                <w:sz w:val="22"/>
                <w:szCs w:val="22"/>
                <w:lang w:val="en-GB"/>
              </w:rPr>
              <w:t>skills</w:t>
            </w:r>
            <w:r>
              <w:rPr>
                <w:sz w:val="22"/>
                <w:szCs w:val="22"/>
                <w:lang w:val="en-GB"/>
              </w:rPr>
              <w:t xml:space="preserve"> of students; on the other, it will familiarise them with the literary-historical-cultural context, moreover, the theatrical and performing traditions of a given play. Characteristically the course chooses to focus on earlier dramas that still exist in contemporary adaptation and also contemporary dramas that embed and adapt earlier plays or memorable performances within their texts, such as </w:t>
            </w:r>
            <w:r w:rsidRPr="00335636">
              <w:rPr>
                <w:i/>
                <w:sz w:val="22"/>
                <w:szCs w:val="22"/>
              </w:rPr>
              <w:t>The Madness of George III</w:t>
            </w:r>
            <w:r>
              <w:rPr>
                <w:i/>
                <w:sz w:val="22"/>
                <w:szCs w:val="22"/>
              </w:rPr>
              <w:t xml:space="preserve"> </w:t>
            </w:r>
            <w:r w:rsidRPr="00335636">
              <w:rPr>
                <w:sz w:val="22"/>
                <w:szCs w:val="22"/>
              </w:rPr>
              <w:t>(1991)</w:t>
            </w:r>
            <w:r>
              <w:rPr>
                <w:i/>
                <w:sz w:val="22"/>
                <w:szCs w:val="22"/>
              </w:rPr>
              <w:t xml:space="preserve"> </w:t>
            </w:r>
            <w:r w:rsidRPr="00335636">
              <w:rPr>
                <w:sz w:val="22"/>
                <w:szCs w:val="22"/>
              </w:rPr>
              <w:t>by Alan Bennett,</w:t>
            </w:r>
            <w:r>
              <w:rPr>
                <w:sz w:val="22"/>
                <w:szCs w:val="22"/>
                <w:lang w:val="en-GB"/>
              </w:rPr>
              <w:t xml:space="preserve"> </w:t>
            </w:r>
            <w:r w:rsidRPr="00335636">
              <w:rPr>
                <w:i/>
                <w:sz w:val="22"/>
                <w:szCs w:val="22"/>
                <w:lang w:val="en-GB"/>
              </w:rPr>
              <w:t>Arcadia</w:t>
            </w:r>
            <w:r>
              <w:rPr>
                <w:sz w:val="22"/>
                <w:szCs w:val="22"/>
                <w:lang w:val="en-GB"/>
              </w:rPr>
              <w:t xml:space="preserve"> (1993) by Tom Stoppard, or </w:t>
            </w:r>
            <w:r w:rsidRPr="00335636">
              <w:rPr>
                <w:i/>
                <w:sz w:val="22"/>
                <w:szCs w:val="22"/>
              </w:rPr>
              <w:t>Playhouse Creatures</w:t>
            </w:r>
            <w:r w:rsidRPr="00335636">
              <w:rPr>
                <w:sz w:val="22"/>
                <w:szCs w:val="22"/>
              </w:rPr>
              <w:t xml:space="preserve"> </w:t>
            </w:r>
            <w:r>
              <w:rPr>
                <w:sz w:val="22"/>
                <w:szCs w:val="22"/>
              </w:rPr>
              <w:t xml:space="preserve">(1993) </w:t>
            </w:r>
            <w:r w:rsidRPr="00335636">
              <w:rPr>
                <w:sz w:val="22"/>
                <w:szCs w:val="22"/>
              </w:rPr>
              <w:t>and</w:t>
            </w:r>
            <w:r>
              <w:rPr>
                <w:i/>
                <w:sz w:val="22"/>
                <w:szCs w:val="22"/>
              </w:rPr>
              <w:t xml:space="preserve"> A Laughing Matter </w:t>
            </w:r>
            <w:r w:rsidRPr="00335636">
              <w:rPr>
                <w:sz w:val="22"/>
                <w:szCs w:val="22"/>
              </w:rPr>
              <w:t>(2002)</w:t>
            </w:r>
            <w:r>
              <w:rPr>
                <w:i/>
                <w:sz w:val="22"/>
                <w:szCs w:val="22"/>
              </w:rPr>
              <w:t xml:space="preserve"> </w:t>
            </w:r>
            <w:r w:rsidRPr="00335636">
              <w:rPr>
                <w:sz w:val="22"/>
                <w:szCs w:val="22"/>
              </w:rPr>
              <w:t>by April de Angelis</w:t>
            </w:r>
            <w:r>
              <w:rPr>
                <w:sz w:val="22"/>
                <w:szCs w:val="22"/>
              </w:rPr>
              <w:t xml:space="preserve">, and </w:t>
            </w:r>
            <w:r>
              <w:rPr>
                <w:i/>
                <w:sz w:val="22"/>
                <w:szCs w:val="22"/>
              </w:rPr>
              <w:t>The Compleat Stage Beauty</w:t>
            </w:r>
            <w:r>
              <w:rPr>
                <w:sz w:val="22"/>
                <w:szCs w:val="22"/>
              </w:rPr>
              <w:t xml:space="preserve"> (1999) by Jeffrey Hatcher and thus dust off and show earlier dramatic and performing traditions.</w:t>
            </w:r>
          </w:p>
          <w:p w:rsidR="00D760C4" w:rsidRPr="006117B5" w:rsidRDefault="00D760C4" w:rsidP="00F36F85">
            <w:pPr>
              <w:tabs>
                <w:tab w:val="left" w:pos="9072"/>
              </w:tabs>
              <w:jc w:val="both"/>
              <w:rPr>
                <w:b/>
                <w:sz w:val="22"/>
                <w:szCs w:val="22"/>
              </w:rPr>
            </w:pPr>
          </w:p>
        </w:tc>
      </w:tr>
    </w:tbl>
    <w:p w:rsidR="00BF193D" w:rsidRDefault="00BF193D">
      <w:bookmarkStart w:id="0" w:name="_GoBack"/>
      <w:bookmarkEnd w:id="0"/>
    </w:p>
    <w:sectPr w:rsidR="00BF1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C4"/>
    <w:rsid w:val="00BF193D"/>
    <w:rsid w:val="00BF6728"/>
    <w:rsid w:val="00D760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D7495-179C-457D-B19B-D55B0C37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760C4"/>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1394</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bbkati</dc:creator>
  <cp:keywords/>
  <dc:description/>
  <cp:lastModifiedBy>bbkati</cp:lastModifiedBy>
  <cp:revision>1</cp:revision>
  <dcterms:created xsi:type="dcterms:W3CDTF">2018-09-01T08:14:00Z</dcterms:created>
  <dcterms:modified xsi:type="dcterms:W3CDTF">2018-09-01T08:16:00Z</dcterms:modified>
</cp:coreProperties>
</file>