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0E" w:rsidRPr="001B4821" w:rsidRDefault="00B2620E" w:rsidP="00B2620E">
      <w:pPr>
        <w:rPr>
          <w:color w:val="333399"/>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gridCol w:w="2204"/>
      </w:tblGrid>
      <w:tr w:rsidR="00B2620E" w:rsidRPr="00BE16DC" w:rsidTr="00D72191">
        <w:tc>
          <w:tcPr>
            <w:tcW w:w="7088" w:type="dxa"/>
            <w:tcBorders>
              <w:top w:val="single" w:sz="4" w:space="0" w:color="auto"/>
              <w:left w:val="single" w:sz="4" w:space="0" w:color="auto"/>
            </w:tcBorders>
            <w:shd w:val="clear" w:color="auto" w:fill="auto"/>
            <w:tcMar>
              <w:top w:w="57" w:type="dxa"/>
              <w:bottom w:w="57" w:type="dxa"/>
            </w:tcMar>
          </w:tcPr>
          <w:p w:rsidR="00B2620E" w:rsidRPr="0000385F" w:rsidRDefault="00B2620E" w:rsidP="00B423D7">
            <w:pPr>
              <w:jc w:val="both"/>
              <w:rPr>
                <w:b/>
                <w:i/>
                <w:sz w:val="22"/>
                <w:szCs w:val="22"/>
              </w:rPr>
            </w:pPr>
            <w:r w:rsidRPr="0000385F">
              <w:rPr>
                <w:b/>
                <w:sz w:val="22"/>
                <w:szCs w:val="22"/>
              </w:rPr>
              <w:t xml:space="preserve">(1.) Tantárgy </w:t>
            </w:r>
            <w:r w:rsidRPr="0000385F">
              <w:rPr>
                <w:sz w:val="22"/>
                <w:szCs w:val="22"/>
              </w:rPr>
              <w:t>neve:</w:t>
            </w:r>
            <w:r w:rsidRPr="0000385F">
              <w:rPr>
                <w:b/>
                <w:sz w:val="22"/>
                <w:szCs w:val="22"/>
              </w:rPr>
              <w:t xml:space="preserve"> </w:t>
            </w:r>
            <w:r w:rsidR="00B423D7">
              <w:rPr>
                <w:b/>
                <w:sz w:val="22"/>
                <w:szCs w:val="22"/>
              </w:rPr>
              <w:t>Amerikai társadalom és kultúra</w:t>
            </w:r>
          </w:p>
        </w:tc>
        <w:tc>
          <w:tcPr>
            <w:tcW w:w="2268" w:type="dxa"/>
            <w:tcBorders>
              <w:top w:val="single" w:sz="4" w:space="0" w:color="auto"/>
              <w:right w:val="single" w:sz="4" w:space="0" w:color="auto"/>
            </w:tcBorders>
            <w:shd w:val="clear" w:color="auto" w:fill="auto"/>
            <w:tcMar>
              <w:top w:w="57" w:type="dxa"/>
              <w:bottom w:w="57" w:type="dxa"/>
            </w:tcMar>
          </w:tcPr>
          <w:p w:rsidR="00B2620E" w:rsidRPr="0000385F" w:rsidRDefault="00B2620E" w:rsidP="00B423D7">
            <w:pPr>
              <w:spacing w:before="60"/>
              <w:jc w:val="both"/>
              <w:rPr>
                <w:b/>
                <w:sz w:val="22"/>
                <w:szCs w:val="22"/>
              </w:rPr>
            </w:pPr>
            <w:r w:rsidRPr="0000385F">
              <w:rPr>
                <w:b/>
                <w:sz w:val="22"/>
                <w:szCs w:val="22"/>
              </w:rPr>
              <w:t xml:space="preserve">Kreditértéke: </w:t>
            </w:r>
            <w:r w:rsidR="00B423D7">
              <w:rPr>
                <w:b/>
                <w:sz w:val="22"/>
                <w:szCs w:val="22"/>
              </w:rPr>
              <w:t>3</w:t>
            </w:r>
          </w:p>
        </w:tc>
      </w:tr>
      <w:tr w:rsidR="00B2620E" w:rsidRPr="00BE16DC" w:rsidTr="00D72191">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B2620E" w:rsidRPr="00BE16DC" w:rsidRDefault="00B2620E" w:rsidP="00B423D7">
            <w:pPr>
              <w:spacing w:before="60"/>
              <w:jc w:val="both"/>
              <w:rPr>
                <w:sz w:val="22"/>
                <w:szCs w:val="22"/>
              </w:rPr>
            </w:pPr>
            <w:r w:rsidRPr="0000385F">
              <w:rPr>
                <w:sz w:val="22"/>
                <w:szCs w:val="22"/>
              </w:rPr>
              <w:t xml:space="preserve">A tantárgy </w:t>
            </w:r>
            <w:r w:rsidRPr="0000385F">
              <w:rPr>
                <w:b/>
                <w:sz w:val="22"/>
                <w:szCs w:val="22"/>
              </w:rPr>
              <w:t>besorolása</w:t>
            </w:r>
            <w:r w:rsidRPr="0000385F">
              <w:rPr>
                <w:sz w:val="22"/>
                <w:szCs w:val="22"/>
              </w:rPr>
              <w:t xml:space="preserve">: </w:t>
            </w:r>
            <w:r w:rsidR="00B423D7">
              <w:rPr>
                <w:b/>
                <w:sz w:val="22"/>
                <w:szCs w:val="22"/>
              </w:rPr>
              <w:t xml:space="preserve">kötelező </w:t>
            </w:r>
            <w:r w:rsidRPr="00773E12">
              <w:rPr>
                <w:b/>
                <w:sz w:val="22"/>
                <w:szCs w:val="22"/>
              </w:rPr>
              <w:t>választható</w:t>
            </w:r>
            <w:r w:rsidRPr="00C2259B">
              <w:rPr>
                <w:color w:val="333399"/>
                <w:sz w:val="22"/>
                <w:szCs w:val="22"/>
              </w:rPr>
              <w:t xml:space="preserve"> </w:t>
            </w:r>
          </w:p>
        </w:tc>
      </w:tr>
      <w:tr w:rsidR="00B2620E" w:rsidRPr="00E73D28" w:rsidTr="00D72191">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2620E" w:rsidRPr="0000385F" w:rsidRDefault="00B2620E" w:rsidP="00622AF1">
            <w:pPr>
              <w:spacing w:before="40" w:after="40"/>
              <w:jc w:val="both"/>
              <w:rPr>
                <w:sz w:val="22"/>
                <w:szCs w:val="22"/>
              </w:rPr>
            </w:pPr>
            <w:r w:rsidRPr="0000385F">
              <w:rPr>
                <w:b/>
                <w:sz w:val="22"/>
                <w:szCs w:val="22"/>
              </w:rPr>
              <w:t xml:space="preserve">A </w:t>
            </w:r>
            <w:r w:rsidRPr="00B81583">
              <w:rPr>
                <w:b/>
                <w:sz w:val="22"/>
                <w:szCs w:val="22"/>
              </w:rPr>
              <w:t>tantárgy elméleti vagy gyakorlati jellegének mértéke, „</w:t>
            </w:r>
            <w:r w:rsidRPr="00B81583">
              <w:rPr>
                <w:b/>
                <w:i/>
                <w:sz w:val="22"/>
                <w:szCs w:val="22"/>
              </w:rPr>
              <w:t>képzési karaktere</w:t>
            </w:r>
            <w:r w:rsidRPr="00B81583">
              <w:rPr>
                <w:b/>
                <w:sz w:val="22"/>
                <w:szCs w:val="22"/>
              </w:rPr>
              <w:t>”</w:t>
            </w:r>
            <w:r w:rsidRPr="00B81583">
              <w:rPr>
                <w:rFonts w:ascii="Times New Roman félkövér" w:hAnsi="Times New Roman félkövér"/>
                <w:b/>
                <w:sz w:val="22"/>
                <w:szCs w:val="22"/>
                <w:vertAlign w:val="superscript"/>
              </w:rPr>
              <w:t>13</w:t>
            </w:r>
            <w:r w:rsidRPr="00B81583">
              <w:rPr>
                <w:sz w:val="22"/>
                <w:szCs w:val="22"/>
              </w:rPr>
              <w:t xml:space="preserve">: </w:t>
            </w:r>
            <w:r w:rsidR="00622AF1">
              <w:rPr>
                <w:b/>
                <w:sz w:val="22"/>
                <w:szCs w:val="22"/>
              </w:rPr>
              <w:t>100%</w:t>
            </w:r>
            <w:r w:rsidR="00B423D7">
              <w:rPr>
                <w:b/>
                <w:sz w:val="22"/>
                <w:szCs w:val="22"/>
              </w:rPr>
              <w:t xml:space="preserve"> gyakorlat</w:t>
            </w:r>
            <w:r w:rsidRPr="00B81583">
              <w:rPr>
                <w:b/>
                <w:sz w:val="22"/>
                <w:szCs w:val="22"/>
              </w:rPr>
              <w:t xml:space="preserve"> </w:t>
            </w:r>
            <w:r w:rsidRPr="00B81583">
              <w:rPr>
                <w:sz w:val="22"/>
                <w:szCs w:val="22"/>
              </w:rPr>
              <w:t>(kredit%)</w:t>
            </w:r>
          </w:p>
        </w:tc>
      </w:tr>
      <w:tr w:rsidR="00B2620E" w:rsidRPr="00BE16DC" w:rsidTr="00D72191">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B2620E" w:rsidRPr="0000385F" w:rsidRDefault="00B2620E" w:rsidP="00D72191">
            <w:pPr>
              <w:spacing w:before="60"/>
              <w:jc w:val="both"/>
              <w:rPr>
                <w:sz w:val="22"/>
                <w:szCs w:val="22"/>
              </w:rPr>
            </w:pPr>
            <w:r w:rsidRPr="00BE16DC">
              <w:rPr>
                <w:sz w:val="22"/>
                <w:szCs w:val="22"/>
              </w:rPr>
              <w:t xml:space="preserve">A </w:t>
            </w:r>
            <w:r w:rsidRPr="00C2259B">
              <w:rPr>
                <w:b/>
                <w:sz w:val="22"/>
                <w:szCs w:val="22"/>
              </w:rPr>
              <w:t>tanóra</w:t>
            </w:r>
            <w:r w:rsidRPr="00081F7D">
              <w:rPr>
                <w:rStyle w:val="Lbjegyzet-hivatkozs"/>
                <w:b/>
                <w:sz w:val="22"/>
                <w:szCs w:val="22"/>
              </w:rPr>
              <w:footnoteReference w:id="1"/>
            </w:r>
            <w:r w:rsidRPr="00C2259B">
              <w:rPr>
                <w:b/>
                <w:sz w:val="22"/>
                <w:szCs w:val="22"/>
              </w:rPr>
              <w:t xml:space="preserve"> típusa</w:t>
            </w:r>
            <w:r w:rsidRPr="00BE16DC">
              <w:rPr>
                <w:sz w:val="22"/>
                <w:szCs w:val="22"/>
              </w:rPr>
              <w:t xml:space="preserve">: </w:t>
            </w:r>
            <w:r w:rsidRPr="00B423D7">
              <w:rPr>
                <w:b/>
                <w:sz w:val="22"/>
                <w:szCs w:val="22"/>
              </w:rPr>
              <w:t>szem.</w:t>
            </w:r>
            <w:r w:rsidRPr="00773E12">
              <w:rPr>
                <w:sz w:val="22"/>
                <w:szCs w:val="22"/>
              </w:rPr>
              <w:t xml:space="preserve"> </w:t>
            </w:r>
            <w:r w:rsidRPr="0000385F">
              <w:rPr>
                <w:sz w:val="22"/>
                <w:szCs w:val="22"/>
              </w:rPr>
              <w:t xml:space="preserve">és </w:t>
            </w:r>
            <w:r w:rsidRPr="0000385F">
              <w:rPr>
                <w:b/>
                <w:sz w:val="22"/>
                <w:szCs w:val="22"/>
              </w:rPr>
              <w:t>óraszáma</w:t>
            </w:r>
            <w:r w:rsidRPr="0000385F">
              <w:rPr>
                <w:sz w:val="22"/>
                <w:szCs w:val="22"/>
              </w:rPr>
              <w:t xml:space="preserve">: </w:t>
            </w:r>
            <w:r w:rsidR="00B423D7">
              <w:rPr>
                <w:b/>
                <w:sz w:val="22"/>
                <w:szCs w:val="22"/>
              </w:rPr>
              <w:t>26</w:t>
            </w:r>
            <w:r w:rsidRPr="0000385F">
              <w:rPr>
                <w:b/>
                <w:sz w:val="22"/>
                <w:szCs w:val="22"/>
              </w:rPr>
              <w:t xml:space="preserve"> </w:t>
            </w:r>
            <w:r w:rsidRPr="0000385F">
              <w:rPr>
                <w:sz w:val="22"/>
                <w:szCs w:val="22"/>
              </w:rPr>
              <w:t xml:space="preserve">az adott </w:t>
            </w:r>
            <w:r w:rsidRPr="0000385F">
              <w:rPr>
                <w:b/>
                <w:sz w:val="22"/>
                <w:szCs w:val="22"/>
              </w:rPr>
              <w:t>félévben</w:t>
            </w:r>
            <w:r w:rsidRPr="0000385F">
              <w:rPr>
                <w:sz w:val="22"/>
                <w:szCs w:val="22"/>
              </w:rPr>
              <w:t>,</w:t>
            </w:r>
          </w:p>
          <w:p w:rsidR="00B2620E" w:rsidRPr="0000385F" w:rsidRDefault="00B2620E" w:rsidP="00D72191">
            <w:pPr>
              <w:spacing w:before="60"/>
              <w:jc w:val="both"/>
              <w:rPr>
                <w:sz w:val="22"/>
                <w:szCs w:val="22"/>
              </w:rPr>
            </w:pPr>
            <w:r w:rsidRPr="0000385F">
              <w:rPr>
                <w:sz w:val="22"/>
                <w:szCs w:val="22"/>
              </w:rPr>
              <w:t>(</w:t>
            </w:r>
            <w:r w:rsidRPr="0000385F">
              <w:rPr>
                <w:i/>
                <w:sz w:val="22"/>
                <w:szCs w:val="22"/>
              </w:rPr>
              <w:t xml:space="preserve">ha nem (csak) magyarul oktatják a tárgyat, akkor a </w:t>
            </w:r>
            <w:r w:rsidRPr="0000385F">
              <w:rPr>
                <w:b/>
                <w:sz w:val="22"/>
                <w:szCs w:val="22"/>
              </w:rPr>
              <w:t>nyelve</w:t>
            </w:r>
            <w:r w:rsidRPr="0000385F">
              <w:rPr>
                <w:sz w:val="22"/>
                <w:szCs w:val="22"/>
              </w:rPr>
              <w:t>:</w:t>
            </w:r>
            <w:r w:rsidRPr="0000385F">
              <w:rPr>
                <w:i/>
                <w:sz w:val="22"/>
                <w:szCs w:val="22"/>
              </w:rPr>
              <w:t xml:space="preserve"> </w:t>
            </w:r>
            <w:r w:rsidR="009F5451">
              <w:rPr>
                <w:i/>
                <w:sz w:val="22"/>
                <w:szCs w:val="22"/>
              </w:rPr>
              <w:t>angol</w:t>
            </w:r>
            <w:r w:rsidRPr="0000385F">
              <w:rPr>
                <w:i/>
                <w:sz w:val="22"/>
                <w:szCs w:val="22"/>
              </w:rPr>
              <w:t>)</w:t>
            </w:r>
          </w:p>
          <w:p w:rsidR="00B2620E" w:rsidRPr="0000385F" w:rsidRDefault="00B2620E" w:rsidP="00D72191">
            <w:pPr>
              <w:spacing w:before="60"/>
              <w:jc w:val="both"/>
              <w:rPr>
                <w:sz w:val="22"/>
                <w:szCs w:val="22"/>
              </w:rPr>
            </w:pPr>
            <w:r w:rsidRPr="0000385F">
              <w:rPr>
                <w:sz w:val="22"/>
                <w:szCs w:val="22"/>
              </w:rPr>
              <w:t>Az adott ismeret átadásában alkalmaz</w:t>
            </w:r>
            <w:r>
              <w:rPr>
                <w:sz w:val="22"/>
                <w:szCs w:val="22"/>
              </w:rPr>
              <w:t>andó</w:t>
            </w:r>
            <w:r w:rsidRPr="0000385F">
              <w:rPr>
                <w:sz w:val="22"/>
                <w:szCs w:val="22"/>
              </w:rPr>
              <w:t xml:space="preserve"> </w:t>
            </w:r>
            <w:r w:rsidRPr="0000385F">
              <w:rPr>
                <w:b/>
                <w:sz w:val="22"/>
                <w:szCs w:val="22"/>
              </w:rPr>
              <w:t>további</w:t>
            </w:r>
            <w:r w:rsidRPr="0000385F">
              <w:rPr>
                <w:sz w:val="22"/>
                <w:szCs w:val="22"/>
              </w:rPr>
              <w:t xml:space="preserve"> (</w:t>
            </w:r>
            <w:r w:rsidRPr="0035754C">
              <w:rPr>
                <w:i/>
                <w:sz w:val="21"/>
                <w:szCs w:val="21"/>
              </w:rPr>
              <w:t>sajátos</w:t>
            </w:r>
            <w:r w:rsidRPr="0000385F">
              <w:rPr>
                <w:sz w:val="22"/>
                <w:szCs w:val="22"/>
              </w:rPr>
              <w:t xml:space="preserve">) </w:t>
            </w:r>
            <w:r w:rsidRPr="0000385F">
              <w:rPr>
                <w:b/>
                <w:sz w:val="22"/>
                <w:szCs w:val="22"/>
              </w:rPr>
              <w:t>módok, jellemzők</w:t>
            </w:r>
            <w:r w:rsidRPr="0000385F">
              <w:rPr>
                <w:rStyle w:val="Lbjegyzet-hivatkozs"/>
                <w:b/>
                <w:sz w:val="22"/>
                <w:szCs w:val="22"/>
              </w:rPr>
              <w:footnoteReference w:id="2"/>
            </w:r>
            <w:r>
              <w:rPr>
                <w:color w:val="333399"/>
                <w:sz w:val="22"/>
                <w:szCs w:val="22"/>
              </w:rPr>
              <w:t xml:space="preserve"> </w:t>
            </w:r>
            <w:r w:rsidRPr="00A00807">
              <w:rPr>
                <w:i/>
                <w:color w:val="333399"/>
                <w:sz w:val="21"/>
                <w:szCs w:val="21"/>
              </w:rPr>
              <w:t>(ha vannak)</w:t>
            </w:r>
            <w:r>
              <w:rPr>
                <w:color w:val="333399"/>
                <w:sz w:val="22"/>
                <w:szCs w:val="22"/>
              </w:rPr>
              <w:t>:</w:t>
            </w:r>
            <w:r w:rsidRPr="00C2259B">
              <w:rPr>
                <w:color w:val="333399"/>
                <w:sz w:val="22"/>
                <w:szCs w:val="22"/>
              </w:rPr>
              <w:t xml:space="preserve"> </w:t>
            </w:r>
            <w:r w:rsidRPr="0000385F">
              <w:rPr>
                <w:sz w:val="22"/>
                <w:szCs w:val="22"/>
                <w:highlight w:val="yellow"/>
              </w:rPr>
              <w:t>………………………..</w:t>
            </w:r>
          </w:p>
        </w:tc>
      </w:tr>
      <w:tr w:rsidR="00B2620E" w:rsidRPr="00BE16DC" w:rsidTr="00D72191">
        <w:tc>
          <w:tcPr>
            <w:tcW w:w="9356" w:type="dxa"/>
            <w:gridSpan w:val="2"/>
            <w:tcBorders>
              <w:left w:val="single" w:sz="4" w:space="0" w:color="auto"/>
              <w:right w:val="single" w:sz="4" w:space="0" w:color="auto"/>
            </w:tcBorders>
            <w:shd w:val="clear" w:color="auto" w:fill="auto"/>
            <w:tcMar>
              <w:top w:w="57" w:type="dxa"/>
              <w:bottom w:w="57" w:type="dxa"/>
            </w:tcMar>
          </w:tcPr>
          <w:p w:rsidR="00B2620E" w:rsidRPr="0000385F" w:rsidRDefault="00B2620E" w:rsidP="00D72191">
            <w:pPr>
              <w:spacing w:before="60"/>
              <w:jc w:val="both"/>
              <w:rPr>
                <w:b/>
                <w:sz w:val="22"/>
                <w:szCs w:val="22"/>
              </w:rPr>
            </w:pPr>
            <w:r w:rsidRPr="00BE16DC">
              <w:rPr>
                <w:sz w:val="22"/>
                <w:szCs w:val="22"/>
              </w:rPr>
              <w:t xml:space="preserve">A </w:t>
            </w:r>
            <w:r w:rsidRPr="0000385F">
              <w:rPr>
                <w:b/>
                <w:sz w:val="22"/>
                <w:szCs w:val="22"/>
              </w:rPr>
              <w:t xml:space="preserve">számonkérés </w:t>
            </w:r>
            <w:r w:rsidRPr="0000385F">
              <w:rPr>
                <w:sz w:val="22"/>
                <w:szCs w:val="22"/>
              </w:rPr>
              <w:t xml:space="preserve">módja (koll. / gyj. / </w:t>
            </w:r>
            <w:r w:rsidRPr="0000385F">
              <w:rPr>
                <w:b/>
                <w:sz w:val="22"/>
                <w:szCs w:val="22"/>
              </w:rPr>
              <w:t>egyéb</w:t>
            </w:r>
            <w:r w:rsidRPr="0000385F">
              <w:rPr>
                <w:rStyle w:val="Lbjegyzet-hivatkozs"/>
                <w:sz w:val="22"/>
                <w:szCs w:val="22"/>
              </w:rPr>
              <w:footnoteReference w:id="3"/>
            </w:r>
            <w:r w:rsidRPr="0000385F">
              <w:rPr>
                <w:sz w:val="22"/>
                <w:szCs w:val="22"/>
              </w:rPr>
              <w:t xml:space="preserve">): </w:t>
            </w:r>
            <w:r w:rsidR="00B423D7">
              <w:rPr>
                <w:b/>
                <w:sz w:val="22"/>
                <w:szCs w:val="22"/>
              </w:rPr>
              <w:t>gyakorlati jegy</w:t>
            </w:r>
          </w:p>
          <w:p w:rsidR="00B2620E" w:rsidRPr="00C2259B" w:rsidRDefault="00B2620E" w:rsidP="00D72191">
            <w:pPr>
              <w:spacing w:before="60"/>
              <w:jc w:val="both"/>
              <w:rPr>
                <w:b/>
                <w:color w:val="333399"/>
                <w:sz w:val="22"/>
                <w:szCs w:val="22"/>
              </w:rPr>
            </w:pPr>
            <w:r w:rsidRPr="0000385F">
              <w:rPr>
                <w:sz w:val="22"/>
                <w:szCs w:val="22"/>
              </w:rPr>
              <w:t>Az ismeretellenőrzésben alkalmaz</w:t>
            </w:r>
            <w:r>
              <w:rPr>
                <w:sz w:val="22"/>
                <w:szCs w:val="22"/>
              </w:rPr>
              <w:t xml:space="preserve">andó </w:t>
            </w:r>
            <w:r w:rsidRPr="0000385F">
              <w:rPr>
                <w:b/>
                <w:sz w:val="22"/>
                <w:szCs w:val="22"/>
              </w:rPr>
              <w:t xml:space="preserve">további </w:t>
            </w:r>
            <w:r w:rsidRPr="0000385F">
              <w:rPr>
                <w:sz w:val="22"/>
                <w:szCs w:val="22"/>
              </w:rPr>
              <w:t>(</w:t>
            </w:r>
            <w:r w:rsidRPr="0035754C">
              <w:rPr>
                <w:i/>
                <w:sz w:val="21"/>
                <w:szCs w:val="21"/>
              </w:rPr>
              <w:t>sajátos</w:t>
            </w:r>
            <w:r w:rsidRPr="0000385F">
              <w:rPr>
                <w:sz w:val="22"/>
                <w:szCs w:val="22"/>
              </w:rPr>
              <w:t xml:space="preserve">) </w:t>
            </w:r>
            <w:r w:rsidRPr="0000385F">
              <w:rPr>
                <w:b/>
                <w:sz w:val="22"/>
                <w:szCs w:val="22"/>
              </w:rPr>
              <w:t>módok</w:t>
            </w:r>
            <w:r w:rsidRPr="0000385F">
              <w:rPr>
                <w:rStyle w:val="Lbjegyzet-hivatkozs"/>
                <w:b/>
                <w:sz w:val="22"/>
                <w:szCs w:val="22"/>
              </w:rPr>
              <w:footnoteReference w:id="4"/>
            </w:r>
            <w:r>
              <w:rPr>
                <w:b/>
                <w:color w:val="333399"/>
                <w:sz w:val="22"/>
                <w:szCs w:val="22"/>
              </w:rPr>
              <w:t xml:space="preserve"> </w:t>
            </w:r>
            <w:r w:rsidRPr="00A00807">
              <w:rPr>
                <w:i/>
                <w:color w:val="333399"/>
                <w:sz w:val="21"/>
                <w:szCs w:val="21"/>
              </w:rPr>
              <w:t>(ha vannak)</w:t>
            </w:r>
            <w:r>
              <w:rPr>
                <w:b/>
                <w:color w:val="333399"/>
                <w:sz w:val="22"/>
                <w:szCs w:val="22"/>
              </w:rPr>
              <w:t xml:space="preserve">: </w:t>
            </w:r>
            <w:r>
              <w:rPr>
                <w:color w:val="333399"/>
                <w:sz w:val="22"/>
                <w:szCs w:val="22"/>
                <w:highlight w:val="yellow"/>
              </w:rPr>
              <w:t>……………………</w:t>
            </w:r>
            <w:r w:rsidRPr="00C2259B">
              <w:rPr>
                <w:color w:val="333399"/>
                <w:sz w:val="22"/>
                <w:szCs w:val="22"/>
                <w:highlight w:val="yellow"/>
              </w:rPr>
              <w:t>..</w:t>
            </w:r>
          </w:p>
        </w:tc>
      </w:tr>
      <w:tr w:rsidR="00B2620E" w:rsidRPr="00BE16DC" w:rsidTr="00D72191">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B2620E" w:rsidRPr="00BE16DC" w:rsidRDefault="00B2620E" w:rsidP="00B423D7">
            <w:pPr>
              <w:jc w:val="both"/>
              <w:rPr>
                <w:sz w:val="22"/>
                <w:szCs w:val="22"/>
              </w:rPr>
            </w:pPr>
            <w:r w:rsidRPr="00BE16DC">
              <w:rPr>
                <w:sz w:val="22"/>
                <w:szCs w:val="22"/>
              </w:rPr>
              <w:t xml:space="preserve">A tantárgy </w:t>
            </w:r>
            <w:r w:rsidRPr="00C2259B">
              <w:rPr>
                <w:b/>
                <w:sz w:val="22"/>
                <w:szCs w:val="22"/>
              </w:rPr>
              <w:t>tantervi helye</w:t>
            </w:r>
            <w:r w:rsidRPr="00BE16DC">
              <w:rPr>
                <w:sz w:val="22"/>
                <w:szCs w:val="22"/>
              </w:rPr>
              <w:t xml:space="preserve"> (hányadik félév): </w:t>
            </w:r>
            <w:r w:rsidR="00B423D7">
              <w:rPr>
                <w:b/>
                <w:sz w:val="22"/>
                <w:szCs w:val="22"/>
              </w:rPr>
              <w:t>6</w:t>
            </w:r>
          </w:p>
        </w:tc>
      </w:tr>
      <w:tr w:rsidR="00B2620E" w:rsidRPr="00BE16DC" w:rsidTr="00D72191">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B2620E" w:rsidRPr="00BE16DC" w:rsidRDefault="00B2620E" w:rsidP="00B423D7">
            <w:pPr>
              <w:jc w:val="both"/>
              <w:rPr>
                <w:sz w:val="22"/>
                <w:szCs w:val="22"/>
              </w:rPr>
            </w:pPr>
            <w:r w:rsidRPr="00BE16DC">
              <w:rPr>
                <w:sz w:val="22"/>
                <w:szCs w:val="22"/>
              </w:rPr>
              <w:t xml:space="preserve">Előtanulmányi feltételek </w:t>
            </w:r>
            <w:r w:rsidRPr="00BE16DC">
              <w:rPr>
                <w:i/>
                <w:sz w:val="22"/>
                <w:szCs w:val="22"/>
              </w:rPr>
              <w:t>(ha vannak)</w:t>
            </w:r>
            <w:r w:rsidRPr="00BE16DC">
              <w:rPr>
                <w:sz w:val="22"/>
                <w:szCs w:val="22"/>
              </w:rPr>
              <w:t>:</w:t>
            </w:r>
            <w:r w:rsidRPr="00BE16DC">
              <w:rPr>
                <w:i/>
                <w:sz w:val="22"/>
                <w:szCs w:val="22"/>
              </w:rPr>
              <w:t xml:space="preserve"> </w:t>
            </w:r>
            <w:r w:rsidR="00B423D7">
              <w:rPr>
                <w:b/>
                <w:sz w:val="22"/>
                <w:szCs w:val="22"/>
              </w:rPr>
              <w:t>BBNAN00900</w:t>
            </w:r>
          </w:p>
        </w:tc>
      </w:tr>
    </w:tbl>
    <w:p w:rsidR="00B2620E" w:rsidRPr="00C2259B" w:rsidRDefault="00B2620E" w:rsidP="00B2620E">
      <w:pPr>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2620E" w:rsidRPr="00BE16DC" w:rsidTr="00D96CDA">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B2620E" w:rsidRPr="00BE16DC" w:rsidRDefault="00022EC1" w:rsidP="00D72191">
            <w:pPr>
              <w:spacing w:before="60"/>
              <w:jc w:val="both"/>
              <w:rPr>
                <w:b/>
                <w:sz w:val="22"/>
                <w:szCs w:val="22"/>
              </w:rPr>
            </w:pPr>
            <w:r>
              <w:rPr>
                <w:b/>
                <w:sz w:val="22"/>
                <w:szCs w:val="22"/>
              </w:rPr>
              <w:t>Tantárgy</w:t>
            </w:r>
            <w:r w:rsidR="00B2620E" w:rsidRPr="00BE16DC">
              <w:rPr>
                <w:b/>
                <w:sz w:val="22"/>
                <w:szCs w:val="22"/>
              </w:rPr>
              <w:t>leírás</w:t>
            </w:r>
            <w:r w:rsidR="00B2620E" w:rsidRPr="00BE16DC">
              <w:rPr>
                <w:sz w:val="22"/>
                <w:szCs w:val="22"/>
              </w:rPr>
              <w:t xml:space="preserve">: az </w:t>
            </w:r>
            <w:r w:rsidR="00B2620E" w:rsidRPr="0000385F">
              <w:rPr>
                <w:sz w:val="22"/>
                <w:szCs w:val="22"/>
              </w:rPr>
              <w:t xml:space="preserve">elsajátítandó </w:t>
            </w:r>
            <w:r w:rsidR="00B2620E" w:rsidRPr="0000385F">
              <w:rPr>
                <w:b/>
                <w:sz w:val="22"/>
                <w:szCs w:val="22"/>
                <w:u w:val="single"/>
              </w:rPr>
              <w:t>ismeretanyag tömör, ugyanakkor informáló leírása</w:t>
            </w:r>
          </w:p>
        </w:tc>
      </w:tr>
      <w:tr w:rsidR="00B2620E" w:rsidRPr="00BE16DC" w:rsidTr="00D96CDA">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rsidR="00B423D7" w:rsidRPr="00B423D7" w:rsidRDefault="00B423D7" w:rsidP="00B423D7">
            <w:pPr>
              <w:jc w:val="both"/>
              <w:rPr>
                <w:sz w:val="24"/>
                <w:szCs w:val="24"/>
              </w:rPr>
            </w:pPr>
            <w:r w:rsidRPr="00B423D7">
              <w:rPr>
                <w:sz w:val="22"/>
                <w:szCs w:val="22"/>
              </w:rPr>
              <w:t>A tantárgy keretében meghirdetett kurzusok célja, hogy az irodalmi tanulmányokhoz elengedhetetlen történelmi és kulturális háttérismeretekkel szolgáljanak. A kurzusok egy-egy jelentős történelmi vagy művészettörténeti korszak, ill. egy meghatározó személyiség, esetleg egyes intézmények történetének vizsgálatára összpontosítanak. Ezek a kurzusok jó alapot adnak a későbbi MA-tanulmányokhoz. A szeminárium a témához szorosan kapcsolódó forrásszövegek elemző olvasásával egyben olyan szövegtípusokkal is megismerteti a hallgatókat, amelyek nem tartoznak a szoros értelemben vett irodalmi kánonhoz, ugyanakkor rávilágítanak egy adott korszak irodalmi alkotásai hátterében húzódó társadalmi, kulturális és intellektuális erővonalakra. A szeminárium – az angol-amerikai történelmi-kulturális előadáshoz hasonlóan – rendkívül gazdag témalehetőségekből meríthet, melyekből az alábbiakban csak néhány példát mutatunk be illusztrációként:</w:t>
            </w:r>
          </w:p>
          <w:p w:rsidR="00B423D7" w:rsidRPr="00B423D7" w:rsidRDefault="00B423D7" w:rsidP="00B423D7">
            <w:pPr>
              <w:numPr>
                <w:ilvl w:val="0"/>
                <w:numId w:val="2"/>
              </w:numPr>
              <w:jc w:val="both"/>
              <w:rPr>
                <w:sz w:val="24"/>
                <w:szCs w:val="24"/>
              </w:rPr>
            </w:pPr>
            <w:r w:rsidRPr="00B423D7">
              <w:rPr>
                <w:sz w:val="22"/>
                <w:szCs w:val="22"/>
              </w:rPr>
              <w:t>Az angol esszé kultúrtörténete: elmélet és gyakorlat</w:t>
            </w:r>
          </w:p>
          <w:p w:rsidR="00B423D7" w:rsidRPr="00B423D7" w:rsidRDefault="00B423D7" w:rsidP="00B423D7">
            <w:pPr>
              <w:jc w:val="both"/>
              <w:rPr>
                <w:sz w:val="24"/>
                <w:szCs w:val="24"/>
              </w:rPr>
            </w:pPr>
            <w:r w:rsidRPr="00B423D7">
              <w:rPr>
                <w:sz w:val="22"/>
                <w:szCs w:val="22"/>
              </w:rPr>
              <w:t>A kurzus az angol esszé műfajának fejlődését követi végig Francis Bacontől a kortárs prózáig. Az esszé irodalomtörténeti átalakulásain túl azonban a hangsúlyt elsősorban az esszé szellemtörténetben betöltött szerepére és az esszéírók korabeli intellektuális szerepére és megítélésére helyezi. A szeminárium elmélet és gyakorlat egyesítésével hármas célt szeretne megvalósítani: (1) végigkövetni az esszé műfajának és koncepciójának történeti változásait, (2) feltárni az angol szellem- és kultúrtörténet eredményeire reflektáló esszék kritikai álláspontját, illetve megvizsgálni az esszékben megjelenő kultúra-fogalom eltérő koncepcióit, és (3) az angol esszéstílus ideáljainak elemzése által aktívan fejleszteni az esszéírási készségeket.</w:t>
            </w:r>
          </w:p>
          <w:p w:rsidR="00B423D7" w:rsidRPr="00B423D7" w:rsidRDefault="00B423D7" w:rsidP="00B423D7">
            <w:pPr>
              <w:numPr>
                <w:ilvl w:val="0"/>
                <w:numId w:val="3"/>
              </w:numPr>
              <w:jc w:val="both"/>
              <w:rPr>
                <w:sz w:val="24"/>
                <w:szCs w:val="24"/>
              </w:rPr>
            </w:pPr>
            <w:r w:rsidRPr="00B423D7">
              <w:rPr>
                <w:sz w:val="22"/>
                <w:szCs w:val="22"/>
              </w:rPr>
              <w:t>Az angol irodalom zenei kontextusa</w:t>
            </w:r>
          </w:p>
          <w:p w:rsidR="00B423D7" w:rsidRPr="00B423D7" w:rsidRDefault="00B423D7" w:rsidP="00B423D7">
            <w:pPr>
              <w:jc w:val="both"/>
              <w:rPr>
                <w:sz w:val="24"/>
                <w:szCs w:val="24"/>
              </w:rPr>
            </w:pPr>
            <w:r w:rsidRPr="00B423D7">
              <w:rPr>
                <w:sz w:val="22"/>
                <w:szCs w:val="22"/>
              </w:rPr>
              <w:t xml:space="preserve">A kurzus az angol irodalmi kánon néhány közismert darabjának első olvasásra sokszor elsikkadó zenei motívumait és azok kultúrtörténeti jelentőségét állítja előtérbe. A „kép és szöveg” paradigmáit elemző kurzusok mintájára a szeminárium az irodalmi mű és zene kapcsolataiból eredő gazdag motivikus hálókat elemzi, és azokat megpróbálja a maguk társadalmi és szellemtörténeti kontextusában értelmezni. A szeminárium tehát nem egy hagyományos </w:t>
            </w:r>
            <w:r w:rsidRPr="00B423D7">
              <w:rPr>
                <w:sz w:val="22"/>
                <w:szCs w:val="22"/>
              </w:rPr>
              <w:lastRenderedPageBreak/>
              <w:t>értelemben vett angol zenetörténeti kurzus, hanem egyes korok zenei kifejezéseinek, gyakorlatának és ízlésének lenyomatait tárja fel irodalmi művekben.</w:t>
            </w:r>
          </w:p>
          <w:p w:rsidR="00B423D7" w:rsidRPr="00B423D7" w:rsidRDefault="00B423D7" w:rsidP="00B423D7">
            <w:pPr>
              <w:numPr>
                <w:ilvl w:val="0"/>
                <w:numId w:val="4"/>
              </w:numPr>
              <w:jc w:val="both"/>
              <w:rPr>
                <w:sz w:val="24"/>
                <w:szCs w:val="24"/>
              </w:rPr>
            </w:pPr>
            <w:r w:rsidRPr="00B423D7">
              <w:rPr>
                <w:sz w:val="22"/>
                <w:szCs w:val="22"/>
              </w:rPr>
              <w:t>Elnökválasztás az Amerikai Egyesült Államokban</w:t>
            </w:r>
          </w:p>
          <w:p w:rsidR="00B423D7" w:rsidRPr="00B423D7" w:rsidRDefault="00B423D7" w:rsidP="00B423D7">
            <w:pPr>
              <w:jc w:val="both"/>
              <w:rPr>
                <w:sz w:val="24"/>
                <w:szCs w:val="24"/>
              </w:rPr>
            </w:pPr>
            <w:r w:rsidRPr="00B423D7">
              <w:rPr>
                <w:sz w:val="22"/>
                <w:szCs w:val="22"/>
              </w:rPr>
              <w:t>A kurzus bevezeti a hallgatókat az amerikai elnökválasztás alkotmányos szabályaiba és gyakorlati lebonyolításába, a két nagy párt jelöltjeinek versenyétől az előválasztásokon és a jelölő pártkongresszusokon át egészen a választás napjáig és a győztes beiktatásáig. A mindig egy elnökválasztási évben meghirdetett kurzus az éppen aktuális elnökválasztási kampányt tekinti esettanulmánynak, megvizsgálja az egyes jelöltek programját és kampányát, valamint az azt kísérő médiavisszhangot, de visszatekint az elmúlt száz év néhány emlékezetes elnökválasztására is.</w:t>
            </w:r>
          </w:p>
          <w:p w:rsidR="00B2620E" w:rsidRPr="00BE16DC" w:rsidRDefault="00B2620E" w:rsidP="00D72191">
            <w:pPr>
              <w:ind w:left="34"/>
              <w:rPr>
                <w:sz w:val="22"/>
                <w:szCs w:val="22"/>
              </w:rPr>
            </w:pPr>
          </w:p>
        </w:tc>
      </w:tr>
      <w:tr w:rsidR="00B2620E" w:rsidRPr="00BE16DC" w:rsidTr="00D96CDA">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2620E" w:rsidRPr="00C74FD2" w:rsidRDefault="00B2620E" w:rsidP="00022EC1">
            <w:pPr>
              <w:ind w:right="-108"/>
              <w:rPr>
                <w:b/>
                <w:color w:val="2F5496"/>
                <w:sz w:val="22"/>
                <w:szCs w:val="22"/>
              </w:rPr>
            </w:pPr>
            <w:r w:rsidRPr="00BE16DC">
              <w:rPr>
                <w:sz w:val="22"/>
                <w:szCs w:val="22"/>
              </w:rPr>
              <w:lastRenderedPageBreak/>
              <w:t xml:space="preserve">A </w:t>
            </w:r>
            <w:r>
              <w:rPr>
                <w:b/>
                <w:sz w:val="22"/>
                <w:szCs w:val="22"/>
              </w:rPr>
              <w:t>2</w:t>
            </w:r>
            <w:r w:rsidR="00022EC1">
              <w:rPr>
                <w:b/>
                <w:sz w:val="22"/>
                <w:szCs w:val="22"/>
              </w:rPr>
              <w:t>–</w:t>
            </w:r>
            <w:r w:rsidRPr="00BE16DC">
              <w:rPr>
                <w:b/>
                <w:sz w:val="22"/>
                <w:szCs w:val="22"/>
              </w:rPr>
              <w:t>5</w:t>
            </w:r>
            <w:r w:rsidRPr="00BE16DC">
              <w:rPr>
                <w:sz w:val="22"/>
                <w:szCs w:val="22"/>
              </w:rPr>
              <w:t xml:space="preserve"> legfontosabb </w:t>
            </w:r>
            <w:r w:rsidRPr="00BE16DC">
              <w:rPr>
                <w:i/>
                <w:sz w:val="22"/>
                <w:szCs w:val="22"/>
              </w:rPr>
              <w:t>kötelező,</w:t>
            </w:r>
            <w:r w:rsidRPr="00BE16DC">
              <w:rPr>
                <w:sz w:val="22"/>
                <w:szCs w:val="22"/>
              </w:rPr>
              <w:t xml:space="preserve"> illetve </w:t>
            </w:r>
            <w:r w:rsidRPr="00BE16DC">
              <w:rPr>
                <w:i/>
                <w:sz w:val="22"/>
                <w:szCs w:val="22"/>
              </w:rPr>
              <w:t>ajánlott</w:t>
            </w:r>
            <w:r w:rsidRPr="00BE16DC">
              <w:rPr>
                <w:b/>
                <w:i/>
                <w:sz w:val="22"/>
                <w:szCs w:val="22"/>
              </w:rPr>
              <w:t xml:space="preserve"> </w:t>
            </w:r>
            <w:r w:rsidRPr="00BE16DC">
              <w:rPr>
                <w:b/>
                <w:sz w:val="22"/>
                <w:szCs w:val="22"/>
              </w:rPr>
              <w:t xml:space="preserve">irodalom </w:t>
            </w:r>
            <w:r w:rsidRPr="00BE16DC">
              <w:rPr>
                <w:sz w:val="22"/>
                <w:szCs w:val="22"/>
              </w:rPr>
              <w:t>(jegyzet, tankönyv) felsorolása bibliográfiai adatokkal (szerző, cím, kiadás adatai, (esetleg oldalak), ISBN)</w:t>
            </w:r>
          </w:p>
        </w:tc>
      </w:tr>
      <w:tr w:rsidR="00B2620E" w:rsidRPr="00BE16DC" w:rsidTr="00D96CDA">
        <w:tc>
          <w:tcPr>
            <w:tcW w:w="8812" w:type="dxa"/>
            <w:tcBorders>
              <w:top w:val="dotted" w:sz="4" w:space="0" w:color="auto"/>
              <w:left w:val="single" w:sz="4" w:space="0" w:color="auto"/>
              <w:bottom w:val="dotted" w:sz="4" w:space="0" w:color="auto"/>
              <w:right w:val="single" w:sz="4" w:space="0" w:color="auto"/>
            </w:tcBorders>
            <w:shd w:val="clear" w:color="auto" w:fill="F1FC8C"/>
            <w:tcMar>
              <w:top w:w="57" w:type="dxa"/>
              <w:bottom w:w="57" w:type="dxa"/>
            </w:tcMar>
            <w:vAlign w:val="center"/>
          </w:tcPr>
          <w:p w:rsidR="00B423D7" w:rsidRPr="00B423D7" w:rsidRDefault="00B423D7" w:rsidP="00B423D7">
            <w:pPr>
              <w:rPr>
                <w:sz w:val="24"/>
                <w:szCs w:val="24"/>
              </w:rPr>
            </w:pPr>
            <w:r w:rsidRPr="00B423D7">
              <w:rPr>
                <w:sz w:val="22"/>
                <w:szCs w:val="22"/>
              </w:rPr>
              <w:t>Kötelező irodalom:</w:t>
            </w:r>
            <w:r w:rsidRPr="00B423D7">
              <w:rPr>
                <w:sz w:val="24"/>
                <w:szCs w:val="24"/>
              </w:rPr>
              <w:t xml:space="preserve"> </w:t>
            </w:r>
          </w:p>
          <w:p w:rsidR="00B423D7" w:rsidRPr="00B423D7" w:rsidRDefault="00B423D7" w:rsidP="00B423D7">
            <w:pPr>
              <w:jc w:val="both"/>
              <w:rPr>
                <w:sz w:val="24"/>
                <w:szCs w:val="24"/>
              </w:rPr>
            </w:pPr>
            <w:r w:rsidRPr="00B423D7">
              <w:rPr>
                <w:sz w:val="22"/>
                <w:szCs w:val="22"/>
              </w:rPr>
              <w:t>A kurzus tartalmi sokszínűsége miatt az irodalmat az adott szeminárium tematikája határozza meg. Általános háttérként a legtöbb kurzus az angol-amerikai társadalom, kultúr- és eszmetörténetet, valamint történelmet összegző kézikönyvekre épül:</w:t>
            </w:r>
          </w:p>
          <w:p w:rsidR="00B423D7" w:rsidRPr="00B423D7" w:rsidRDefault="00B423D7" w:rsidP="00B423D7">
            <w:pPr>
              <w:jc w:val="both"/>
              <w:rPr>
                <w:sz w:val="24"/>
                <w:szCs w:val="24"/>
              </w:rPr>
            </w:pPr>
            <w:r w:rsidRPr="00B423D7">
              <w:rPr>
                <w:sz w:val="22"/>
                <w:szCs w:val="22"/>
              </w:rPr>
              <w:t>A</w:t>
            </w:r>
            <w:r w:rsidRPr="00B423D7">
              <w:rPr>
                <w:sz w:val="18"/>
                <w:szCs w:val="22"/>
              </w:rPr>
              <w:t>RNOLD-</w:t>
            </w:r>
            <w:r w:rsidRPr="00B423D7">
              <w:rPr>
                <w:sz w:val="22"/>
                <w:szCs w:val="22"/>
              </w:rPr>
              <w:t>B</w:t>
            </w:r>
            <w:r w:rsidRPr="00B423D7">
              <w:rPr>
                <w:sz w:val="18"/>
                <w:szCs w:val="22"/>
              </w:rPr>
              <w:t xml:space="preserve">AKER </w:t>
            </w:r>
            <w:r w:rsidRPr="00B423D7">
              <w:rPr>
                <w:sz w:val="22"/>
                <w:szCs w:val="22"/>
              </w:rPr>
              <w:t xml:space="preserve">, Charles (szerk.), </w:t>
            </w:r>
            <w:r w:rsidRPr="00B423D7">
              <w:rPr>
                <w:i/>
                <w:sz w:val="22"/>
                <w:szCs w:val="22"/>
              </w:rPr>
              <w:t>The companion to British history,</w:t>
            </w:r>
            <w:r w:rsidRPr="00B423D7">
              <w:rPr>
                <w:sz w:val="22"/>
                <w:szCs w:val="22"/>
              </w:rPr>
              <w:t xml:space="preserve"> London, Routledge, 2001, ISBN 0-415-26016-7</w:t>
            </w:r>
          </w:p>
          <w:p w:rsidR="00B423D7" w:rsidRPr="00B423D7" w:rsidRDefault="00B423D7" w:rsidP="00B423D7">
            <w:pPr>
              <w:jc w:val="both"/>
              <w:rPr>
                <w:sz w:val="24"/>
                <w:szCs w:val="24"/>
              </w:rPr>
            </w:pPr>
            <w:r w:rsidRPr="00B423D7">
              <w:rPr>
                <w:sz w:val="22"/>
                <w:szCs w:val="22"/>
              </w:rPr>
              <w:t>F</w:t>
            </w:r>
            <w:r w:rsidRPr="00B423D7">
              <w:rPr>
                <w:sz w:val="18"/>
                <w:szCs w:val="22"/>
              </w:rPr>
              <w:t xml:space="preserve">ORD </w:t>
            </w:r>
            <w:r w:rsidRPr="00B423D7">
              <w:rPr>
                <w:sz w:val="22"/>
                <w:szCs w:val="22"/>
              </w:rPr>
              <w:t xml:space="preserve">, Boris (szerk.), </w:t>
            </w:r>
            <w:r w:rsidRPr="00B423D7">
              <w:rPr>
                <w:i/>
                <w:sz w:val="22"/>
                <w:szCs w:val="22"/>
              </w:rPr>
              <w:t xml:space="preserve">The Cambridge cultural history I-IX, </w:t>
            </w:r>
            <w:r w:rsidRPr="00B423D7">
              <w:rPr>
                <w:sz w:val="22"/>
                <w:szCs w:val="22"/>
              </w:rPr>
              <w:t>Cambridge, Cambridge University Press, 1992</w:t>
            </w:r>
          </w:p>
          <w:p w:rsidR="00B423D7" w:rsidRPr="00B423D7" w:rsidRDefault="00B423D7" w:rsidP="00B423D7">
            <w:pPr>
              <w:ind w:left="34" w:hanging="34"/>
              <w:jc w:val="both"/>
              <w:rPr>
                <w:sz w:val="24"/>
                <w:szCs w:val="24"/>
              </w:rPr>
            </w:pPr>
            <w:r w:rsidRPr="00B423D7">
              <w:rPr>
                <w:sz w:val="22"/>
                <w:szCs w:val="22"/>
              </w:rPr>
              <w:t>J</w:t>
            </w:r>
            <w:r w:rsidRPr="00B423D7">
              <w:rPr>
                <w:sz w:val="18"/>
                <w:szCs w:val="22"/>
              </w:rPr>
              <w:t xml:space="preserve">OHNSON </w:t>
            </w:r>
            <w:r w:rsidRPr="00B423D7">
              <w:rPr>
                <w:sz w:val="22"/>
                <w:szCs w:val="22"/>
              </w:rPr>
              <w:t xml:space="preserve">, Paul, </w:t>
            </w:r>
            <w:r w:rsidRPr="00B423D7">
              <w:rPr>
                <w:i/>
                <w:sz w:val="22"/>
                <w:szCs w:val="22"/>
              </w:rPr>
              <w:t>A history of the American people,</w:t>
            </w:r>
            <w:r w:rsidRPr="00B423D7">
              <w:rPr>
                <w:sz w:val="22"/>
                <w:szCs w:val="22"/>
              </w:rPr>
              <w:t xml:space="preserve"> London, Phoenix, 2000, ISBN 1-84212-425-0</w:t>
            </w:r>
            <w:r w:rsidRPr="00B423D7">
              <w:rPr>
                <w:color w:val="000000"/>
                <w:sz w:val="22"/>
                <w:szCs w:val="22"/>
              </w:rPr>
              <w:t xml:space="preserve"> </w:t>
            </w:r>
          </w:p>
          <w:p w:rsidR="00B423D7" w:rsidRPr="00B423D7" w:rsidRDefault="00B423D7" w:rsidP="00B423D7">
            <w:pPr>
              <w:ind w:left="290" w:hanging="290"/>
              <w:jc w:val="both"/>
              <w:rPr>
                <w:sz w:val="24"/>
                <w:szCs w:val="24"/>
              </w:rPr>
            </w:pPr>
            <w:r w:rsidRPr="00B423D7">
              <w:rPr>
                <w:sz w:val="22"/>
                <w:szCs w:val="22"/>
              </w:rPr>
              <w:t>Ajánlott irodalom:</w:t>
            </w:r>
          </w:p>
          <w:p w:rsidR="00B423D7" w:rsidRPr="00B423D7" w:rsidRDefault="00B423D7" w:rsidP="00B423D7">
            <w:pPr>
              <w:ind w:left="290" w:hanging="290"/>
              <w:jc w:val="both"/>
              <w:rPr>
                <w:sz w:val="24"/>
                <w:szCs w:val="24"/>
              </w:rPr>
            </w:pPr>
            <w:r w:rsidRPr="00B423D7">
              <w:rPr>
                <w:sz w:val="22"/>
                <w:szCs w:val="22"/>
              </w:rPr>
              <w:t>Az ajánlott olvasmányok a fent vázolt szeminárium-példákhoz kapcsolódnak:</w:t>
            </w:r>
          </w:p>
          <w:p w:rsidR="00B423D7" w:rsidRPr="00B423D7" w:rsidRDefault="00B423D7" w:rsidP="00B423D7">
            <w:pPr>
              <w:jc w:val="both"/>
              <w:rPr>
                <w:sz w:val="24"/>
                <w:szCs w:val="24"/>
              </w:rPr>
            </w:pPr>
            <w:r w:rsidRPr="00B423D7">
              <w:rPr>
                <w:sz w:val="22"/>
                <w:szCs w:val="22"/>
                <w:lang w:val="en-US"/>
              </w:rPr>
              <w:t>G</w:t>
            </w:r>
            <w:r w:rsidRPr="00B423D7">
              <w:rPr>
                <w:sz w:val="18"/>
                <w:szCs w:val="22"/>
                <w:lang w:val="en-US"/>
              </w:rPr>
              <w:t xml:space="preserve">ROSS </w:t>
            </w:r>
            <w:r w:rsidRPr="00B423D7">
              <w:rPr>
                <w:sz w:val="22"/>
                <w:szCs w:val="22"/>
                <w:lang w:val="en-US"/>
              </w:rPr>
              <w:t xml:space="preserve">, John (szerk.), </w:t>
            </w:r>
            <w:r w:rsidRPr="00B423D7">
              <w:rPr>
                <w:i/>
                <w:sz w:val="22"/>
                <w:szCs w:val="22"/>
                <w:lang w:val="en-US"/>
              </w:rPr>
              <w:t xml:space="preserve">The Oxford book of essays, </w:t>
            </w:r>
            <w:r w:rsidRPr="00B423D7">
              <w:rPr>
                <w:sz w:val="22"/>
                <w:szCs w:val="22"/>
                <w:lang w:val="en-US"/>
              </w:rPr>
              <w:t xml:space="preserve">Oxford, Oxford University Press, 1991, ISBN </w:t>
            </w:r>
            <w:r w:rsidRPr="00B423D7">
              <w:rPr>
                <w:sz w:val="22"/>
                <w:szCs w:val="22"/>
              </w:rPr>
              <w:t>0-19-214185-6</w:t>
            </w:r>
          </w:p>
          <w:p w:rsidR="00B423D7" w:rsidRPr="00B423D7" w:rsidRDefault="00B423D7" w:rsidP="00B423D7">
            <w:pPr>
              <w:jc w:val="both"/>
              <w:rPr>
                <w:sz w:val="24"/>
                <w:szCs w:val="24"/>
              </w:rPr>
            </w:pPr>
            <w:r w:rsidRPr="00B423D7">
              <w:rPr>
                <w:sz w:val="22"/>
                <w:szCs w:val="22"/>
              </w:rPr>
              <w:t>L</w:t>
            </w:r>
            <w:r w:rsidRPr="00B423D7">
              <w:rPr>
                <w:sz w:val="18"/>
                <w:szCs w:val="22"/>
              </w:rPr>
              <w:t xml:space="preserve">EVINE </w:t>
            </w:r>
            <w:r w:rsidRPr="00B423D7">
              <w:rPr>
                <w:sz w:val="22"/>
                <w:szCs w:val="22"/>
              </w:rPr>
              <w:t xml:space="preserve">, Myron A., </w:t>
            </w:r>
            <w:r w:rsidRPr="00B423D7">
              <w:rPr>
                <w:i/>
                <w:sz w:val="22"/>
                <w:szCs w:val="22"/>
              </w:rPr>
              <w:t>Presidential campaigns and elections : issues, images and partisanship</w:t>
            </w:r>
            <w:r w:rsidRPr="00B423D7">
              <w:rPr>
                <w:sz w:val="22"/>
                <w:szCs w:val="22"/>
              </w:rPr>
              <w:t>, Itasca, Peacock, 1992, ISBN</w:t>
            </w:r>
            <w:r w:rsidRPr="00B423D7">
              <w:rPr>
                <w:color w:val="504949"/>
                <w:sz w:val="22"/>
                <w:szCs w:val="22"/>
              </w:rPr>
              <w:t xml:space="preserve"> </w:t>
            </w:r>
            <w:r w:rsidRPr="00B423D7">
              <w:rPr>
                <w:sz w:val="22"/>
                <w:szCs w:val="22"/>
              </w:rPr>
              <w:t>0-87581-357-7</w:t>
            </w:r>
            <w:r w:rsidRPr="00B423D7">
              <w:rPr>
                <w:color w:val="000000"/>
                <w:sz w:val="22"/>
                <w:szCs w:val="22"/>
              </w:rPr>
              <w:t xml:space="preserve"> </w:t>
            </w:r>
          </w:p>
          <w:p w:rsidR="00B423D7" w:rsidRPr="00B423D7" w:rsidRDefault="00B423D7" w:rsidP="00B423D7">
            <w:pPr>
              <w:jc w:val="both"/>
              <w:rPr>
                <w:sz w:val="24"/>
                <w:szCs w:val="24"/>
              </w:rPr>
            </w:pPr>
            <w:r w:rsidRPr="00B423D7">
              <w:rPr>
                <w:sz w:val="22"/>
                <w:szCs w:val="22"/>
              </w:rPr>
              <w:t>S</w:t>
            </w:r>
            <w:r w:rsidRPr="00B423D7">
              <w:rPr>
                <w:sz w:val="18"/>
                <w:szCs w:val="22"/>
              </w:rPr>
              <w:t xml:space="preserve">CHOLES </w:t>
            </w:r>
            <w:r w:rsidRPr="00B423D7">
              <w:rPr>
                <w:sz w:val="22"/>
                <w:szCs w:val="22"/>
              </w:rPr>
              <w:t>, Percy A.</w:t>
            </w:r>
            <w:r w:rsidRPr="00B423D7">
              <w:rPr>
                <w:color w:val="000000"/>
                <w:sz w:val="22"/>
                <w:szCs w:val="22"/>
              </w:rPr>
              <w:t xml:space="preserve">, </w:t>
            </w:r>
            <w:r w:rsidRPr="00B423D7">
              <w:rPr>
                <w:i/>
                <w:color w:val="000000"/>
                <w:sz w:val="22"/>
                <w:szCs w:val="22"/>
              </w:rPr>
              <w:t xml:space="preserve">The Oxford companion to music, </w:t>
            </w:r>
            <w:r w:rsidRPr="00B423D7">
              <w:rPr>
                <w:color w:val="000000"/>
                <w:sz w:val="22"/>
                <w:szCs w:val="22"/>
              </w:rPr>
              <w:t xml:space="preserve">London, Oxford University Press, 1970, ISBN </w:t>
            </w:r>
            <w:r w:rsidRPr="00B423D7">
              <w:rPr>
                <w:sz w:val="22"/>
                <w:szCs w:val="22"/>
              </w:rPr>
              <w:t>0-19-311306-6</w:t>
            </w:r>
            <w:r w:rsidRPr="00B423D7">
              <w:rPr>
                <w:color w:val="000000"/>
                <w:sz w:val="22"/>
                <w:szCs w:val="22"/>
              </w:rPr>
              <w:t xml:space="preserve"> </w:t>
            </w:r>
          </w:p>
          <w:p w:rsidR="00B2620E" w:rsidRPr="00BE16DC" w:rsidRDefault="00B2620E" w:rsidP="00D72191">
            <w:pPr>
              <w:ind w:left="34"/>
              <w:rPr>
                <w:b/>
                <w:sz w:val="22"/>
                <w:szCs w:val="22"/>
              </w:rPr>
            </w:pPr>
          </w:p>
        </w:tc>
      </w:tr>
    </w:tbl>
    <w:p w:rsidR="00B2620E" w:rsidRPr="00392872" w:rsidRDefault="00B2620E" w:rsidP="00392872">
      <w:pPr>
        <w:spacing w:after="120"/>
        <w:jc w:val="both"/>
        <w:rPr>
          <w:rFonts w:ascii="Arial" w:hAnsi="Arial" w:cs="Arial"/>
          <w:sz w:val="2"/>
          <w:szCs w:val="2"/>
        </w:rPr>
      </w:pPr>
      <w:bookmarkStart w:id="0" w:name="_GoBack"/>
      <w:bookmarkEnd w:id="0"/>
    </w:p>
    <w:sectPr w:rsidR="00B2620E" w:rsidRPr="003928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D2" w:rsidRDefault="009C51D2" w:rsidP="00B2620E">
      <w:r>
        <w:separator/>
      </w:r>
    </w:p>
  </w:endnote>
  <w:endnote w:type="continuationSeparator" w:id="0">
    <w:p w:rsidR="009C51D2" w:rsidRDefault="009C51D2" w:rsidP="00B2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altName w:val="Cambria"/>
    <w:panose1 w:val="020208030705050203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D2" w:rsidRDefault="009C51D2" w:rsidP="00B2620E">
      <w:r>
        <w:separator/>
      </w:r>
    </w:p>
  </w:footnote>
  <w:footnote w:type="continuationSeparator" w:id="0">
    <w:p w:rsidR="009C51D2" w:rsidRDefault="009C51D2" w:rsidP="00B2620E">
      <w:r>
        <w:continuationSeparator/>
      </w:r>
    </w:p>
  </w:footnote>
  <w:footnote w:id="1">
    <w:p w:rsidR="00B2620E" w:rsidRPr="00A5216A" w:rsidRDefault="00B2620E" w:rsidP="00B2620E">
      <w:pPr>
        <w:pStyle w:val="Lbjegyzetszveg"/>
        <w:ind w:left="142" w:hanging="142"/>
        <w:rPr>
          <w:sz w:val="4"/>
          <w:szCs w:val="4"/>
        </w:rPr>
      </w:pPr>
    </w:p>
    <w:p w:rsidR="00B2620E" w:rsidRPr="0003723C" w:rsidRDefault="00B2620E" w:rsidP="00B2620E">
      <w:pPr>
        <w:pStyle w:val="Lbjegyzetszveg"/>
      </w:pPr>
      <w:r w:rsidRPr="0035754C">
        <w:rPr>
          <w:rStyle w:val="Lbjegyzet-hivatkozs"/>
          <w:b/>
        </w:rPr>
        <w:footnoteRef/>
      </w:r>
      <w:r w:rsidRPr="0003723C">
        <w:t xml:space="preserve"> </w:t>
      </w:r>
      <w:r w:rsidRPr="00576C00">
        <w:rPr>
          <w:b/>
        </w:rPr>
        <w:t>N</w:t>
      </w:r>
      <w:r w:rsidRPr="0003723C">
        <w:rPr>
          <w:b/>
          <w:bCs/>
        </w:rPr>
        <w:t xml:space="preserve">ftv. 108. § </w:t>
      </w:r>
      <w:r w:rsidRPr="0003723C">
        <w:t>37.</w:t>
      </w:r>
      <w:r w:rsidRPr="0003723C">
        <w:rPr>
          <w:i/>
        </w:rPr>
        <w:t xml:space="preserve"> tanóra</w:t>
      </w:r>
      <w:r w:rsidRPr="0003723C">
        <w:t xml:space="preserve">: a tantervben meghatározott tanulmányi követelmények teljesítéséhez az oktató személyes közreműködését igénylő foglalkozás (előadás, szeminárium, gyakorlat, konzultáció), amelynek időtartama legalább negyvenöt, legfeljebb hatvan perc. </w:t>
      </w:r>
    </w:p>
  </w:footnote>
  <w:footnote w:id="2">
    <w:p w:rsidR="00B2620E" w:rsidRPr="0000385F" w:rsidRDefault="00B2620E" w:rsidP="00B2620E">
      <w:pPr>
        <w:pStyle w:val="Lbjegyzetszveg"/>
      </w:pPr>
      <w:r w:rsidRPr="0035754C">
        <w:rPr>
          <w:rStyle w:val="Lbjegyzet-hivatkozs"/>
          <w:b/>
        </w:rPr>
        <w:footnoteRef/>
      </w:r>
      <w:r>
        <w:t xml:space="preserve"> </w:t>
      </w:r>
      <w:r w:rsidRPr="0000385F">
        <w:t>pl. esetismertetések, szerepjáték, tematikus prezentációk stb.</w:t>
      </w:r>
    </w:p>
  </w:footnote>
  <w:footnote w:id="3">
    <w:p w:rsidR="00B2620E" w:rsidRPr="0000385F" w:rsidRDefault="00B2620E" w:rsidP="00B2620E">
      <w:pPr>
        <w:pStyle w:val="Lbjegyzetszveg"/>
      </w:pPr>
      <w:r w:rsidRPr="0035754C">
        <w:rPr>
          <w:rStyle w:val="Lbjegyzet-hivatkozs"/>
          <w:b/>
        </w:rPr>
        <w:footnoteRef/>
      </w:r>
      <w:r w:rsidRPr="0000385F">
        <w:t xml:space="preserve"> pl. folyamatos számonkérés, évközi beszámoló</w:t>
      </w:r>
    </w:p>
  </w:footnote>
  <w:footnote w:id="4">
    <w:p w:rsidR="00B2620E" w:rsidRPr="0000385F" w:rsidRDefault="00B2620E" w:rsidP="00B2620E">
      <w:pPr>
        <w:pStyle w:val="Lbjegyzetszveg"/>
      </w:pPr>
      <w:r w:rsidRPr="0035754C">
        <w:rPr>
          <w:rStyle w:val="Lbjegyzet-hivatkozs"/>
          <w:b/>
        </w:rPr>
        <w:footnoteRef/>
      </w:r>
      <w:r w:rsidRPr="0000385F">
        <w:t xml:space="preserve"> pl. esettanulmányok, témakidolgozások, dolgozatok, esszék, üzleti, szervezési tervek stb. bekérése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A6"/>
    <w:multiLevelType w:val="multilevel"/>
    <w:tmpl w:val="1AF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8D0A37"/>
    <w:multiLevelType w:val="multilevel"/>
    <w:tmpl w:val="1D72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7D7C4813"/>
    <w:multiLevelType w:val="multilevel"/>
    <w:tmpl w:val="7DC2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0E"/>
    <w:rsid w:val="00022EC1"/>
    <w:rsid w:val="000755A0"/>
    <w:rsid w:val="001715D3"/>
    <w:rsid w:val="00173C88"/>
    <w:rsid w:val="001765C5"/>
    <w:rsid w:val="001969D7"/>
    <w:rsid w:val="00392872"/>
    <w:rsid w:val="00460463"/>
    <w:rsid w:val="00622AF1"/>
    <w:rsid w:val="00714B95"/>
    <w:rsid w:val="00773E12"/>
    <w:rsid w:val="00806B63"/>
    <w:rsid w:val="00865F3D"/>
    <w:rsid w:val="0094548A"/>
    <w:rsid w:val="009C51D2"/>
    <w:rsid w:val="009F5451"/>
    <w:rsid w:val="00A32C75"/>
    <w:rsid w:val="00B2620E"/>
    <w:rsid w:val="00B423D7"/>
    <w:rsid w:val="00BB29D3"/>
    <w:rsid w:val="00D96C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25917-287D-454D-8F73-E1F8C0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620E"/>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B2620E"/>
    <w:rPr>
      <w:vertAlign w:val="superscript"/>
    </w:rPr>
  </w:style>
  <w:style w:type="paragraph" w:styleId="Lbjegyzetszveg">
    <w:name w:val="footnote text"/>
    <w:basedOn w:val="Norml"/>
    <w:link w:val="LbjegyzetszvegChar"/>
    <w:semiHidden/>
    <w:rsid w:val="00B2620E"/>
  </w:style>
  <w:style w:type="character" w:customStyle="1" w:styleId="LbjegyzetszvegChar">
    <w:name w:val="Lábjegyzetszöveg Char"/>
    <w:basedOn w:val="Bekezdsalapbettpusa"/>
    <w:link w:val="Lbjegyzetszveg"/>
    <w:semiHidden/>
    <w:rsid w:val="00B2620E"/>
    <w:rPr>
      <w:rFonts w:ascii="Times New Roman" w:eastAsia="Times New Roman" w:hAnsi="Times New Roman" w:cs="Times New Roman"/>
      <w:sz w:val="20"/>
      <w:szCs w:val="20"/>
      <w:lang w:eastAsia="hu-HU"/>
    </w:rPr>
  </w:style>
  <w:style w:type="paragraph" w:customStyle="1" w:styleId="CharChar1CharCharCharCharCharChar">
    <w:name w:val="Char Char1 Char Char Char Char Char Char"/>
    <w:basedOn w:val="Norml"/>
    <w:rsid w:val="00B2620E"/>
    <w:pPr>
      <w:spacing w:after="160" w:line="240" w:lineRule="exact"/>
    </w:pPr>
    <w:rPr>
      <w:rFonts w:ascii="Tahoma" w:hAnsi="Tahoma" w:cs="Tahoma"/>
      <w:lang w:val="en-US" w:eastAsia="en-US"/>
    </w:rPr>
  </w:style>
  <w:style w:type="character" w:customStyle="1" w:styleId="keyvalue1">
    <w:name w:val="keyvalue1"/>
    <w:basedOn w:val="Bekezdsalapbettpusa"/>
    <w:rsid w:val="00B4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6400">
      <w:bodyDiv w:val="1"/>
      <w:marLeft w:val="0"/>
      <w:marRight w:val="0"/>
      <w:marTop w:val="0"/>
      <w:marBottom w:val="0"/>
      <w:divBdr>
        <w:top w:val="none" w:sz="0" w:space="0" w:color="auto"/>
        <w:left w:val="none" w:sz="0" w:space="0" w:color="auto"/>
        <w:bottom w:val="none" w:sz="0" w:space="0" w:color="auto"/>
        <w:right w:val="none" w:sz="0" w:space="0" w:color="auto"/>
      </w:divBdr>
    </w:div>
    <w:div w:id="7436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4301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PPKE</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dc:creator>
  <cp:lastModifiedBy>bbkati</cp:lastModifiedBy>
  <cp:revision>3</cp:revision>
  <dcterms:created xsi:type="dcterms:W3CDTF">2017-01-17T10:04:00Z</dcterms:created>
  <dcterms:modified xsi:type="dcterms:W3CDTF">2018-08-31T20:10:00Z</dcterms:modified>
</cp:coreProperties>
</file>