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2E" w:rsidRPr="00B47DEB" w:rsidRDefault="006B6B2E" w:rsidP="006B6B2E">
      <w:pPr>
        <w:suppressAutoHyphens/>
        <w:rPr>
          <w:sz w:val="12"/>
          <w:szCs w:val="1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09"/>
      </w:tblGrid>
      <w:tr w:rsidR="006B6B2E" w:rsidRPr="00B47DEB" w:rsidTr="006B4AC2">
        <w:tc>
          <w:tcPr>
            <w:tcW w:w="7088" w:type="dxa"/>
            <w:tcBorders>
              <w:top w:val="single" w:sz="4" w:space="0" w:color="auto"/>
              <w:left w:val="single" w:sz="4" w:space="0" w:color="auto"/>
            </w:tcBorders>
            <w:shd w:val="clear" w:color="auto" w:fill="auto"/>
            <w:tcMar>
              <w:top w:w="57" w:type="dxa"/>
              <w:bottom w:w="57" w:type="dxa"/>
            </w:tcMar>
          </w:tcPr>
          <w:p w:rsidR="006B6B2E" w:rsidRPr="00B47DEB" w:rsidRDefault="006B6B2E" w:rsidP="006B4AC2">
            <w:pPr>
              <w:suppressAutoHyphens/>
              <w:jc w:val="both"/>
              <w:rPr>
                <w:i/>
                <w:sz w:val="22"/>
                <w:szCs w:val="22"/>
              </w:rPr>
            </w:pPr>
            <w:r w:rsidRPr="00B47DEB">
              <w:rPr>
                <w:sz w:val="22"/>
              </w:rPr>
              <w:t xml:space="preserve">Title of the subject: </w:t>
            </w:r>
            <w:r w:rsidR="007F4FB3">
              <w:rPr>
                <w:b/>
                <w:sz w:val="22"/>
                <w:szCs w:val="22"/>
              </w:rPr>
              <w:t>English Literatures and Cultures</w:t>
            </w:r>
          </w:p>
        </w:tc>
        <w:tc>
          <w:tcPr>
            <w:tcW w:w="2409" w:type="dxa"/>
            <w:tcBorders>
              <w:top w:val="single" w:sz="4" w:space="0" w:color="auto"/>
              <w:right w:val="single" w:sz="4" w:space="0" w:color="auto"/>
            </w:tcBorders>
            <w:shd w:val="clear" w:color="auto" w:fill="auto"/>
            <w:tcMar>
              <w:top w:w="57" w:type="dxa"/>
              <w:bottom w:w="57" w:type="dxa"/>
            </w:tcMar>
          </w:tcPr>
          <w:p w:rsidR="006B6B2E" w:rsidRPr="00B47DEB" w:rsidRDefault="006B6B2E" w:rsidP="007F4FB3">
            <w:pPr>
              <w:suppressAutoHyphens/>
              <w:spacing w:before="60"/>
              <w:jc w:val="both"/>
              <w:rPr>
                <w:sz w:val="22"/>
                <w:szCs w:val="22"/>
              </w:rPr>
            </w:pPr>
            <w:r w:rsidRPr="00B47DEB">
              <w:rPr>
                <w:sz w:val="22"/>
              </w:rPr>
              <w:t xml:space="preserve">Credit value: </w:t>
            </w:r>
            <w:r w:rsidR="007F4FB3">
              <w:rPr>
                <w:b/>
                <w:sz w:val="22"/>
              </w:rPr>
              <w:t>3</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BF11FB">
            <w:pPr>
              <w:suppressAutoHyphens/>
              <w:spacing w:before="60"/>
              <w:jc w:val="both"/>
              <w:rPr>
                <w:sz w:val="22"/>
                <w:szCs w:val="22"/>
              </w:rPr>
            </w:pPr>
            <w:r w:rsidRPr="00B47DEB">
              <w:rPr>
                <w:sz w:val="22"/>
              </w:rPr>
              <w:t>Category of the subject</w:t>
            </w:r>
            <w:r w:rsidRPr="008C48C7">
              <w:rPr>
                <w:b/>
                <w:sz w:val="22"/>
              </w:rPr>
              <w:t xml:space="preserve">: </w:t>
            </w:r>
            <w:r w:rsidRPr="00BF11FB">
              <w:rPr>
                <w:b/>
                <w:sz w:val="22"/>
                <w:highlight w:val="yellow"/>
              </w:rPr>
              <w:t>required</w:t>
            </w:r>
            <w:r w:rsidR="00BF11FB" w:rsidRPr="00BF11FB">
              <w:rPr>
                <w:b/>
                <w:sz w:val="22"/>
                <w:highlight w:val="yellow"/>
              </w:rPr>
              <w:t>/optional</w:t>
            </w:r>
            <w:r w:rsidR="00BF11FB">
              <w:rPr>
                <w:b/>
                <w:sz w:val="22"/>
              </w:rPr>
              <w:t xml:space="preserve"> </w:t>
            </w:r>
          </w:p>
        </w:tc>
      </w:tr>
      <w:tr w:rsidR="006B6B2E" w:rsidRPr="00B47DEB" w:rsidTr="006B4AC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B457B2">
            <w:pPr>
              <w:suppressAutoHyphens/>
              <w:spacing w:before="40" w:after="40"/>
              <w:jc w:val="both"/>
              <w:rPr>
                <w:sz w:val="22"/>
                <w:szCs w:val="22"/>
              </w:rPr>
            </w:pPr>
            <w:r w:rsidRPr="00B47DEB">
              <w:rPr>
                <w:sz w:val="22"/>
              </w:rPr>
              <w:t>Extent of the theoretical or practical nature of the subject, "</w:t>
            </w:r>
            <w:r w:rsidRPr="00B47DEB">
              <w:rPr>
                <w:i/>
                <w:sz w:val="22"/>
              </w:rPr>
              <w:t>educational character</w:t>
            </w:r>
            <w:r w:rsidRPr="00B47DEB">
              <w:rPr>
                <w:sz w:val="22"/>
              </w:rPr>
              <w:t>"</w:t>
            </w:r>
            <w:r w:rsidRPr="00B47DEB">
              <w:rPr>
                <w:rStyle w:val="Lbjegyzet-hivatkozs"/>
                <w:sz w:val="22"/>
              </w:rPr>
              <w:footnoteReference w:id="1"/>
            </w:r>
            <w:r w:rsidRPr="00B47DEB">
              <w:rPr>
                <w:sz w:val="22"/>
              </w:rPr>
              <w:t>:</w:t>
            </w:r>
            <w:r w:rsidR="00B457B2">
              <w:rPr>
                <w:b/>
                <w:sz w:val="22"/>
              </w:rPr>
              <w:t>100%</w:t>
            </w:r>
            <w:r w:rsidR="007F4FB3">
              <w:rPr>
                <w:b/>
                <w:sz w:val="22"/>
              </w:rPr>
              <w:t xml:space="preserve"> seminar</w:t>
            </w:r>
            <w:r w:rsidRPr="00B47DEB">
              <w:rPr>
                <w:sz w:val="22"/>
              </w:rPr>
              <w:t xml:space="preserve"> (credit%)</w:t>
            </w:r>
          </w:p>
        </w:tc>
      </w:tr>
      <w:tr w:rsidR="006B6B2E" w:rsidRPr="00B47DEB" w:rsidTr="006B4AC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Type of the class: </w:t>
            </w:r>
            <w:r w:rsidRPr="005C71EF">
              <w:rPr>
                <w:b/>
                <w:sz w:val="22"/>
              </w:rPr>
              <w:t xml:space="preserve">sem. </w:t>
            </w:r>
            <w:r w:rsidRPr="00B47DEB">
              <w:rPr>
                <w:sz w:val="22"/>
              </w:rPr>
              <w:t xml:space="preserve">and number of classes: </w:t>
            </w:r>
            <w:r w:rsidR="005C71EF">
              <w:rPr>
                <w:b/>
                <w:sz w:val="22"/>
              </w:rPr>
              <w:t>26</w:t>
            </w:r>
            <w:r w:rsidRPr="00B47DEB">
              <w:rPr>
                <w:sz w:val="22"/>
              </w:rPr>
              <w:t xml:space="preserve"> in the given semester,</w:t>
            </w:r>
          </w:p>
          <w:p w:rsidR="006B6B2E" w:rsidRPr="00B47DEB" w:rsidRDefault="006B6B2E" w:rsidP="006B4AC2">
            <w:pPr>
              <w:suppressAutoHyphens/>
              <w:spacing w:before="60"/>
              <w:jc w:val="both"/>
              <w:rPr>
                <w:sz w:val="22"/>
                <w:szCs w:val="22"/>
              </w:rPr>
            </w:pPr>
            <w:r w:rsidRPr="00B47DEB">
              <w:rPr>
                <w:sz w:val="22"/>
              </w:rPr>
              <w:t>(</w:t>
            </w:r>
            <w:r w:rsidRPr="00B47DEB">
              <w:rPr>
                <w:i/>
                <w:sz w:val="22"/>
              </w:rPr>
              <w:t>if the subject is (partially) taught in any language other than Hungarian, then the language</w:t>
            </w:r>
            <w:r w:rsidRPr="00B47DEB">
              <w:rPr>
                <w:sz w:val="22"/>
              </w:rPr>
              <w:t>:</w:t>
            </w:r>
            <w:r w:rsidRPr="00B47DEB">
              <w:rPr>
                <w:i/>
                <w:sz w:val="22"/>
              </w:rPr>
              <w:t xml:space="preserve"> </w:t>
            </w:r>
            <w:r w:rsidR="00805539">
              <w:rPr>
                <w:i/>
                <w:sz w:val="22"/>
              </w:rPr>
              <w:t>English</w:t>
            </w:r>
            <w:r w:rsidRPr="00B47DEB">
              <w:rPr>
                <w:i/>
                <w:sz w:val="22"/>
              </w:rPr>
              <w:t>)</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forms, characteristics</w:t>
            </w:r>
            <w:r w:rsidRPr="00B47DEB">
              <w:rPr>
                <w:rStyle w:val="Lbjegyzet-hivatkozs"/>
                <w:sz w:val="22"/>
              </w:rPr>
              <w:footnoteReference w:id="2"/>
            </w:r>
            <w:r w:rsidRPr="00B47DEB">
              <w:rPr>
                <w:sz w:val="22"/>
              </w:rPr>
              <w:t xml:space="preserve"> of the transfer of the given knowledge</w:t>
            </w:r>
            <w:r>
              <w:rPr>
                <w:sz w:val="22"/>
              </w:rPr>
              <w:t xml:space="preserve"> </w:t>
            </w:r>
            <w:r w:rsidRPr="00B47DEB">
              <w:rPr>
                <w:i/>
                <w:sz w:val="21"/>
              </w:rPr>
              <w:t>(if any)</w:t>
            </w:r>
            <w:r w:rsidRPr="00B47DEB">
              <w:rPr>
                <w:sz w:val="22"/>
              </w:rPr>
              <w:t xml:space="preserve">: </w:t>
            </w:r>
            <w:r w:rsidRPr="008C48C7">
              <w:rPr>
                <w:sz w:val="22"/>
                <w:highlight w:val="yellow"/>
              </w:rPr>
              <w:t>………………………..</w:t>
            </w:r>
          </w:p>
        </w:tc>
      </w:tr>
      <w:tr w:rsidR="006B6B2E" w:rsidRPr="00B47DEB" w:rsidTr="006B4AC2">
        <w:tc>
          <w:tcPr>
            <w:tcW w:w="9497" w:type="dxa"/>
            <w:gridSpan w:val="2"/>
            <w:tcBorders>
              <w:left w:val="single"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 xml:space="preserve">Form of testing (exam / pract. mark / other): </w:t>
            </w:r>
            <w:r w:rsidR="007F4FB3">
              <w:rPr>
                <w:b/>
                <w:sz w:val="22"/>
              </w:rPr>
              <w:t>practical mark</w:t>
            </w:r>
          </w:p>
          <w:p w:rsidR="006B6B2E" w:rsidRPr="00B47DEB" w:rsidRDefault="006B6B2E" w:rsidP="006B4AC2">
            <w:pPr>
              <w:suppressAutoHyphens/>
              <w:spacing w:before="60"/>
              <w:jc w:val="both"/>
              <w:rPr>
                <w:sz w:val="22"/>
                <w:szCs w:val="22"/>
              </w:rPr>
            </w:pPr>
            <w:r w:rsidRPr="00B47DEB">
              <w:rPr>
                <w:sz w:val="22"/>
              </w:rPr>
              <w:t>Further (</w:t>
            </w:r>
            <w:r w:rsidRPr="00B47DEB">
              <w:rPr>
                <w:i/>
                <w:sz w:val="21"/>
              </w:rPr>
              <w:t>specific</w:t>
            </w:r>
            <w:r w:rsidRPr="00B47DEB">
              <w:rPr>
                <w:sz w:val="22"/>
              </w:rPr>
              <w:t xml:space="preserve">) forms to be applied in </w:t>
            </w:r>
            <w:r w:rsidRPr="00B47DEB">
              <w:rPr>
                <w:rStyle w:val="Lbjegyzet-hivatkozs"/>
                <w:sz w:val="22"/>
              </w:rPr>
              <w:footnoteReference w:id="3"/>
            </w:r>
            <w:r w:rsidRPr="00B47DEB">
              <w:rPr>
                <w:sz w:val="22"/>
              </w:rPr>
              <w:t xml:space="preserve"> knowledge testing</w:t>
            </w:r>
            <w:r w:rsidRPr="00B47DEB">
              <w:rPr>
                <w:i/>
                <w:sz w:val="21"/>
              </w:rPr>
              <w:t>(if any)</w:t>
            </w:r>
            <w:r w:rsidRPr="00B47DEB">
              <w:rPr>
                <w:sz w:val="22"/>
              </w:rPr>
              <w:t xml:space="preserve">: </w:t>
            </w:r>
            <w:r w:rsidRPr="00536E8D">
              <w:rPr>
                <w:sz w:val="22"/>
                <w:highlight w:val="yellow"/>
              </w:rPr>
              <w:t>……………………..</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F4FB3">
            <w:pPr>
              <w:suppressAutoHyphens/>
              <w:jc w:val="both"/>
              <w:rPr>
                <w:sz w:val="22"/>
                <w:szCs w:val="22"/>
              </w:rPr>
            </w:pPr>
            <w:r w:rsidRPr="00B47DEB">
              <w:rPr>
                <w:sz w:val="22"/>
              </w:rPr>
              <w:t xml:space="preserve">Position of the subject in the curriculum (number of the semester): </w:t>
            </w:r>
            <w:r w:rsidR="007F4FB3">
              <w:rPr>
                <w:b/>
                <w:sz w:val="22"/>
              </w:rPr>
              <w:t>6</w:t>
            </w:r>
          </w:p>
        </w:tc>
      </w:tr>
      <w:tr w:rsidR="006B6B2E" w:rsidRPr="00B47DEB" w:rsidTr="006B4AC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6B2E" w:rsidRPr="00B47DEB" w:rsidRDefault="006B6B2E" w:rsidP="007F4FB3">
            <w:pPr>
              <w:suppressAutoHyphens/>
              <w:jc w:val="both"/>
              <w:rPr>
                <w:sz w:val="22"/>
                <w:szCs w:val="22"/>
              </w:rPr>
            </w:pPr>
            <w:r w:rsidRPr="00B47DEB">
              <w:rPr>
                <w:sz w:val="22"/>
              </w:rPr>
              <w:t xml:space="preserve">Required preliminary studies </w:t>
            </w:r>
            <w:r w:rsidRPr="00B47DEB">
              <w:rPr>
                <w:i/>
                <w:sz w:val="22"/>
              </w:rPr>
              <w:t>(if any)</w:t>
            </w:r>
            <w:r w:rsidRPr="00B47DEB">
              <w:rPr>
                <w:sz w:val="22"/>
              </w:rPr>
              <w:t>:</w:t>
            </w:r>
            <w:r w:rsidRPr="00B47DEB">
              <w:rPr>
                <w:i/>
                <w:sz w:val="22"/>
              </w:rPr>
              <w:t xml:space="preserve"> </w:t>
            </w:r>
            <w:r w:rsidR="007F4FB3">
              <w:rPr>
                <w:b/>
                <w:sz w:val="22"/>
              </w:rPr>
              <w:t>BBNAN00900</w:t>
            </w:r>
          </w:p>
        </w:tc>
      </w:tr>
    </w:tbl>
    <w:p w:rsidR="006B6B2E" w:rsidRPr="00B47DEB" w:rsidRDefault="006B6B2E" w:rsidP="006B6B2E">
      <w:pPr>
        <w:suppressAutoHyphens/>
        <w:rPr>
          <w:sz w:val="2"/>
          <w:szCs w:val="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6B6B2E" w:rsidRPr="00B47DEB" w:rsidTr="006B4AC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B6B2E" w:rsidRPr="00B47DEB" w:rsidRDefault="006B6B2E" w:rsidP="006B4AC2">
            <w:pPr>
              <w:suppressAutoHyphens/>
              <w:spacing w:before="60"/>
              <w:jc w:val="both"/>
              <w:rPr>
                <w:sz w:val="22"/>
                <w:szCs w:val="22"/>
              </w:rPr>
            </w:pPr>
            <w:r w:rsidRPr="00B47DEB">
              <w:rPr>
                <w:sz w:val="22"/>
              </w:rPr>
              <w:t>Description of the subject: the brief, still informative description of the knowledge to be attained</w:t>
            </w:r>
          </w:p>
        </w:tc>
      </w:tr>
      <w:tr w:rsidR="006B6B2E" w:rsidRPr="00B47DEB" w:rsidTr="006B4AC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B6B2E" w:rsidRPr="00B47DEB" w:rsidRDefault="00B137A6" w:rsidP="006B4AC2">
            <w:pPr>
              <w:suppressAutoHyphens/>
              <w:ind w:left="34"/>
              <w:rPr>
                <w:sz w:val="22"/>
                <w:szCs w:val="22"/>
              </w:rPr>
            </w:pPr>
            <w:r>
              <w:rPr>
                <w:b/>
                <w:sz w:val="22"/>
                <w:szCs w:val="22"/>
              </w:rPr>
              <w:t>Beside the courses on British and American literature and culture, students have the opportunity to get acquainted with the peculiarities of other English speaking literatures and cultures, thus they can gain an insight into Irish, Indian, Australian or Canadian works, for instance. The courses in this group of course-unit highlight the literary and cultural specificities, and, at the same time, relies on the students' formerly acquired knowledge, as it makes use of various English and American works as points of reference during the analyses. The course requires complex analyzing skills that enable students to interpret the various bridging and differentiating factors among the discussed cultures.</w:t>
            </w:r>
          </w:p>
        </w:tc>
      </w:tr>
    </w:tbl>
    <w:p w:rsidR="00156CC1" w:rsidRDefault="00156CC1" w:rsidP="006B6B2E">
      <w:bookmarkStart w:id="0" w:name="_GoBack"/>
      <w:bookmarkEnd w:id="0"/>
    </w:p>
    <w:sectPr w:rsidR="00156CC1" w:rsidSect="006B6B2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6E" w:rsidRDefault="00C11F6E" w:rsidP="006B6B2E">
      <w:r>
        <w:separator/>
      </w:r>
    </w:p>
  </w:endnote>
  <w:endnote w:type="continuationSeparator" w:id="0">
    <w:p w:rsidR="00C11F6E" w:rsidRDefault="00C11F6E" w:rsidP="006B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6E" w:rsidRDefault="00C11F6E" w:rsidP="006B6B2E">
      <w:r>
        <w:separator/>
      </w:r>
    </w:p>
  </w:footnote>
  <w:footnote w:type="continuationSeparator" w:id="0">
    <w:p w:rsidR="00C11F6E" w:rsidRDefault="00C11F6E" w:rsidP="006B6B2E">
      <w:r>
        <w:continuationSeparator/>
      </w:r>
    </w:p>
  </w:footnote>
  <w:footnote w:id="1">
    <w:p w:rsidR="006B6B2E" w:rsidRDefault="006B6B2E" w:rsidP="006B6B2E">
      <w:pPr>
        <w:pStyle w:val="Lbjegyzetszveg"/>
        <w:suppressAutoHyphens/>
      </w:pPr>
      <w:r>
        <w:rPr>
          <w:rStyle w:val="Lbjegyzet-hivatkozs"/>
        </w:rPr>
        <w:footnoteRef/>
      </w:r>
      <w:r>
        <w:t xml:space="preserve"> </w:t>
      </w:r>
      <w:r>
        <w:rPr>
          <w:sz w:val="19"/>
        </w:rPr>
        <w:t xml:space="preserve">Determination of the educational character, value expressed in credit%: knowledge contents, nature of the competences to be attained </w:t>
      </w:r>
      <w:r>
        <w:rPr>
          <w:i/>
          <w:sz w:val="18"/>
        </w:rPr>
        <w:t>(see description of the subject),</w:t>
      </w:r>
      <w:r>
        <w:rPr>
          <w:sz w:val="18"/>
        </w:rPr>
        <w:t xml:space="preserve"> </w:t>
      </w:r>
      <w:r>
        <w:rPr>
          <w:sz w:val="19"/>
        </w:rPr>
        <w:t>by comparing, evaluating the form of knowledge transfer and form of testing in a combined, complex manner.</w:t>
      </w:r>
    </w:p>
  </w:footnote>
  <w:footnote w:id="2">
    <w:p w:rsidR="006B6B2E" w:rsidRPr="0000385F" w:rsidRDefault="006B6B2E" w:rsidP="006B6B2E">
      <w:pPr>
        <w:pStyle w:val="Lbjegyzetszveg"/>
      </w:pPr>
      <w:r>
        <w:rPr>
          <w:rStyle w:val="Lbjegyzet-hivatkozs"/>
          <w:b/>
        </w:rPr>
        <w:footnoteRef/>
      </w:r>
      <w:r>
        <w:t xml:space="preserve"> e.g. case discussions, role play, thematic presentations, etc.</w:t>
      </w:r>
    </w:p>
  </w:footnote>
  <w:footnote w:id="3">
    <w:p w:rsidR="006B6B2E" w:rsidRPr="00DF1E33" w:rsidRDefault="006B6B2E" w:rsidP="006B6B2E">
      <w:pPr>
        <w:pStyle w:val="Lbjegyzetszveg"/>
      </w:pPr>
      <w:r>
        <w:rPr>
          <w:rStyle w:val="Lbjegyzet-hivatkozs"/>
        </w:rPr>
        <w:footnoteRef/>
      </w:r>
      <w:r>
        <w:t xml:space="preserve"> e.g. hand-in assignments, such as case studies, elaboration of specific topics, compositions, essays, business and organizational plans,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2E"/>
    <w:rsid w:val="00156CC1"/>
    <w:rsid w:val="002E7B4E"/>
    <w:rsid w:val="003B6641"/>
    <w:rsid w:val="00473AD4"/>
    <w:rsid w:val="00536E8D"/>
    <w:rsid w:val="005C71EF"/>
    <w:rsid w:val="00666CB5"/>
    <w:rsid w:val="006B006A"/>
    <w:rsid w:val="006B6B2E"/>
    <w:rsid w:val="007D4FAB"/>
    <w:rsid w:val="007F4FB3"/>
    <w:rsid w:val="00805539"/>
    <w:rsid w:val="008C48C7"/>
    <w:rsid w:val="00B137A6"/>
    <w:rsid w:val="00B457B2"/>
    <w:rsid w:val="00BF11FB"/>
    <w:rsid w:val="00C11F6E"/>
    <w:rsid w:val="00CF0E73"/>
    <w:rsid w:val="00E079AF"/>
    <w:rsid w:val="00EA0A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B511-8BC4-45C1-841C-3264179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2E"/>
    <w:pPr>
      <w:spacing w:after="0" w:line="240" w:lineRule="auto"/>
    </w:pPr>
    <w:rPr>
      <w:rFonts w:ascii="Times New Roman" w:eastAsia="Times New Roman" w:hAnsi="Times New Roman" w:cs="Times New Roman"/>
      <w:sz w:val="20"/>
      <w:szCs w:val="20"/>
      <w:lang w:val="en-US"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6B6B2E"/>
    <w:rPr>
      <w:vertAlign w:val="superscript"/>
    </w:rPr>
  </w:style>
  <w:style w:type="paragraph" w:styleId="Lbjegyzetszveg">
    <w:name w:val="footnote text"/>
    <w:basedOn w:val="Norml"/>
    <w:link w:val="LbjegyzetszvegChar"/>
    <w:semiHidden/>
    <w:rsid w:val="006B6B2E"/>
  </w:style>
  <w:style w:type="character" w:customStyle="1" w:styleId="LbjegyzetszvegChar">
    <w:name w:val="Lábjegyzetszöveg Char"/>
    <w:basedOn w:val="Bekezdsalapbettpusa"/>
    <w:link w:val="Lbjegyzetszveg"/>
    <w:semiHidden/>
    <w:rsid w:val="006B6B2E"/>
    <w:rPr>
      <w:rFonts w:ascii="Times New Roman" w:eastAsia="Times New Roman" w:hAnsi="Times New Roman"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1389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bbkati</cp:lastModifiedBy>
  <cp:revision>6</cp:revision>
  <dcterms:created xsi:type="dcterms:W3CDTF">2017-06-29T06:05:00Z</dcterms:created>
  <dcterms:modified xsi:type="dcterms:W3CDTF">2018-08-31T20:15:00Z</dcterms:modified>
</cp:coreProperties>
</file>