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6B6B2E" w:rsidRPr="00B47DEB" w14:paraId="2ABD21E8" w14:textId="77777777" w:rsidTr="006B4AC2">
        <w:tc>
          <w:tcPr>
            <w:tcW w:w="7088" w:type="dxa"/>
            <w:tcBorders>
              <w:top w:val="single" w:sz="4" w:space="0" w:color="auto"/>
              <w:left w:val="single" w:sz="4" w:space="0" w:color="auto"/>
            </w:tcBorders>
            <w:shd w:val="clear" w:color="auto" w:fill="auto"/>
            <w:tcMar>
              <w:top w:w="57" w:type="dxa"/>
              <w:bottom w:w="57" w:type="dxa"/>
            </w:tcMar>
          </w:tcPr>
          <w:p w14:paraId="16691B9C" w14:textId="77777777" w:rsidR="006B6B2E" w:rsidRPr="00B47DEB" w:rsidRDefault="006B6B2E" w:rsidP="00CA2C64">
            <w:pPr>
              <w:suppressAutoHyphens/>
              <w:jc w:val="both"/>
              <w:rPr>
                <w:i/>
                <w:sz w:val="22"/>
                <w:szCs w:val="22"/>
              </w:rPr>
            </w:pPr>
            <w:r w:rsidRPr="00B47DEB">
              <w:rPr>
                <w:sz w:val="22"/>
              </w:rPr>
              <w:t>Tit</w:t>
            </w:r>
            <w:r w:rsidR="008C6B68">
              <w:rPr>
                <w:sz w:val="22"/>
              </w:rPr>
              <w:t>le of the subject: Introduction to Canada</w:t>
            </w:r>
          </w:p>
        </w:tc>
        <w:tc>
          <w:tcPr>
            <w:tcW w:w="2409" w:type="dxa"/>
            <w:tcBorders>
              <w:top w:val="single" w:sz="4" w:space="0" w:color="auto"/>
              <w:right w:val="single" w:sz="4" w:space="0" w:color="auto"/>
            </w:tcBorders>
            <w:shd w:val="clear" w:color="auto" w:fill="auto"/>
            <w:tcMar>
              <w:top w:w="57" w:type="dxa"/>
              <w:bottom w:w="57" w:type="dxa"/>
            </w:tcMar>
          </w:tcPr>
          <w:p w14:paraId="5954F162" w14:textId="77777777" w:rsidR="006B6B2E" w:rsidRPr="00B47DEB" w:rsidRDefault="008C6B68" w:rsidP="006B4AC2">
            <w:pPr>
              <w:suppressAutoHyphens/>
              <w:spacing w:before="60"/>
              <w:jc w:val="both"/>
              <w:rPr>
                <w:sz w:val="22"/>
                <w:szCs w:val="22"/>
              </w:rPr>
            </w:pPr>
            <w:r>
              <w:rPr>
                <w:sz w:val="22"/>
              </w:rPr>
              <w:t>Credit value: 4</w:t>
            </w:r>
          </w:p>
        </w:tc>
      </w:tr>
      <w:tr w:rsidR="006B6B2E" w:rsidRPr="00B47DEB" w14:paraId="5940E1DE" w14:textId="77777777"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34CA8AF0" w14:textId="77777777" w:rsidR="006B6B2E" w:rsidRPr="00B47DEB" w:rsidRDefault="006B6B2E" w:rsidP="00CA2C64">
            <w:pPr>
              <w:suppressAutoHyphens/>
              <w:spacing w:before="60"/>
              <w:jc w:val="both"/>
              <w:rPr>
                <w:sz w:val="22"/>
                <w:szCs w:val="22"/>
              </w:rPr>
            </w:pPr>
            <w:r w:rsidRPr="00B47DEB">
              <w:rPr>
                <w:sz w:val="22"/>
              </w:rPr>
              <w:t>Category of the subject: optional</w:t>
            </w:r>
          </w:p>
        </w:tc>
      </w:tr>
      <w:tr w:rsidR="006B6B2E" w:rsidRPr="00B47DEB" w14:paraId="2D7BCF69" w14:textId="77777777" w:rsidTr="006B4AC2">
        <w:tc>
          <w:tcPr>
            <w:tcW w:w="94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25E2D5" w14:textId="376A8117" w:rsidR="006B6B2E" w:rsidRPr="00B47DEB" w:rsidRDefault="006B6B2E" w:rsidP="003E69EA">
            <w:pPr>
              <w:suppressAutoHyphens/>
              <w:spacing w:before="40" w:after="40"/>
              <w:jc w:val="both"/>
              <w:rPr>
                <w:sz w:val="22"/>
                <w:szCs w:val="22"/>
              </w:rPr>
            </w:pPr>
            <w:r w:rsidRPr="00B47DEB">
              <w:rPr>
                <w:sz w:val="22"/>
              </w:rPr>
              <w:t>Extent of the theoretical or practical nature of the subject, "</w:t>
            </w:r>
            <w:r w:rsidRPr="00B47DEB">
              <w:rPr>
                <w:i/>
                <w:sz w:val="22"/>
              </w:rPr>
              <w:t>educational character</w:t>
            </w:r>
            <w:r w:rsidRPr="00B47DEB">
              <w:rPr>
                <w:sz w:val="22"/>
              </w:rPr>
              <w:t>"</w:t>
            </w:r>
            <w:r w:rsidR="00CA2C64">
              <w:rPr>
                <w:sz w:val="22"/>
              </w:rPr>
              <w:t xml:space="preserve">: 100% practical </w:t>
            </w:r>
            <w:r w:rsidRPr="00B47DEB">
              <w:rPr>
                <w:sz w:val="22"/>
              </w:rPr>
              <w:t>(credit%)</w:t>
            </w:r>
          </w:p>
        </w:tc>
      </w:tr>
      <w:tr w:rsidR="006B6B2E" w:rsidRPr="00B47DEB" w14:paraId="65B3A78F" w14:textId="77777777" w:rsidTr="006B4AC2">
        <w:tc>
          <w:tcPr>
            <w:tcW w:w="9497"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01D0B44F" w14:textId="77777777" w:rsidR="006B6B2E" w:rsidRPr="00B47DEB" w:rsidRDefault="006B6B2E" w:rsidP="006B4AC2">
            <w:pPr>
              <w:suppressAutoHyphens/>
              <w:spacing w:before="60"/>
              <w:jc w:val="both"/>
              <w:rPr>
                <w:sz w:val="22"/>
                <w:szCs w:val="22"/>
              </w:rPr>
            </w:pPr>
            <w:r w:rsidRPr="00B47DEB">
              <w:rPr>
                <w:sz w:val="22"/>
              </w:rPr>
              <w:t>Type of the class:  sem.</w:t>
            </w:r>
            <w:r w:rsidR="00CA2C64">
              <w:rPr>
                <w:sz w:val="22"/>
              </w:rPr>
              <w:t>,</w:t>
            </w:r>
            <w:r w:rsidRPr="00B47DEB">
              <w:rPr>
                <w:sz w:val="22"/>
              </w:rPr>
              <w:t xml:space="preserve"> and number of classes: </w:t>
            </w:r>
            <w:r w:rsidR="00CA2C64">
              <w:rPr>
                <w:sz w:val="22"/>
              </w:rPr>
              <w:t>26</w:t>
            </w:r>
            <w:r w:rsidRPr="00B47DEB">
              <w:rPr>
                <w:sz w:val="22"/>
              </w:rPr>
              <w:t xml:space="preserve"> in the given semester,</w:t>
            </w:r>
          </w:p>
          <w:p w14:paraId="3EA1E0EA" w14:textId="77777777" w:rsidR="006B6B2E" w:rsidRPr="00B47DEB" w:rsidRDefault="006B6B2E" w:rsidP="006B4AC2">
            <w:pPr>
              <w:suppressAutoHyphens/>
              <w:spacing w:before="60"/>
              <w:jc w:val="both"/>
              <w:rPr>
                <w:sz w:val="22"/>
                <w:szCs w:val="22"/>
              </w:rPr>
            </w:pPr>
            <w:r w:rsidRPr="00B47DEB">
              <w:rPr>
                <w:sz w:val="22"/>
              </w:rPr>
              <w:t>(</w:t>
            </w:r>
            <w:r w:rsidRPr="00B47DEB">
              <w:rPr>
                <w:i/>
                <w:sz w:val="22"/>
              </w:rPr>
              <w:t>if the subject is (partially) taught in any language other than Hungarian, then the language</w:t>
            </w:r>
            <w:r w:rsidRPr="00B47DEB">
              <w:rPr>
                <w:sz w:val="22"/>
              </w:rPr>
              <w:t>:</w:t>
            </w:r>
            <w:r w:rsidRPr="00B47DEB">
              <w:rPr>
                <w:i/>
                <w:sz w:val="22"/>
              </w:rPr>
              <w:t xml:space="preserve"> </w:t>
            </w:r>
            <w:r w:rsidR="00CA2C64">
              <w:rPr>
                <w:i/>
                <w:sz w:val="22"/>
              </w:rPr>
              <w:t>English</w:t>
            </w:r>
            <w:r w:rsidRPr="00B47DEB">
              <w:rPr>
                <w:i/>
                <w:sz w:val="22"/>
              </w:rPr>
              <w:t>)</w:t>
            </w:r>
          </w:p>
          <w:p w14:paraId="633E3CE9" w14:textId="47A1EB1F" w:rsidR="006B6B2E" w:rsidRPr="00B47DEB" w:rsidRDefault="006B6B2E" w:rsidP="003E69EA">
            <w:pPr>
              <w:suppressAutoHyphens/>
              <w:spacing w:before="60"/>
              <w:jc w:val="both"/>
              <w:rPr>
                <w:sz w:val="22"/>
                <w:szCs w:val="22"/>
              </w:rPr>
            </w:pPr>
            <w:r w:rsidRPr="00B47DEB">
              <w:rPr>
                <w:sz w:val="22"/>
              </w:rPr>
              <w:t>Further (</w:t>
            </w:r>
            <w:r w:rsidRPr="00B47DEB">
              <w:rPr>
                <w:i/>
                <w:sz w:val="21"/>
              </w:rPr>
              <w:t>specific</w:t>
            </w:r>
            <w:r w:rsidRPr="00B47DEB">
              <w:rPr>
                <w:sz w:val="22"/>
              </w:rPr>
              <w:t>) forms, characteristics</w:t>
            </w:r>
            <w:bookmarkStart w:id="0" w:name="_GoBack"/>
            <w:bookmarkEnd w:id="0"/>
            <w:r w:rsidRPr="00B47DEB">
              <w:rPr>
                <w:sz w:val="22"/>
              </w:rPr>
              <w:t xml:space="preserve"> of the transfer of the given knowledge</w:t>
            </w:r>
            <w:r>
              <w:rPr>
                <w:sz w:val="22"/>
              </w:rPr>
              <w:t xml:space="preserve"> </w:t>
            </w:r>
            <w:r w:rsidRPr="00B47DEB">
              <w:rPr>
                <w:i/>
                <w:sz w:val="21"/>
              </w:rPr>
              <w:t>(if any)</w:t>
            </w:r>
            <w:r w:rsidRPr="00B47DEB">
              <w:rPr>
                <w:sz w:val="22"/>
              </w:rPr>
              <w:t>: ………………………..</w:t>
            </w:r>
          </w:p>
        </w:tc>
      </w:tr>
      <w:tr w:rsidR="006B6B2E" w:rsidRPr="00B47DEB" w14:paraId="79946C79" w14:textId="77777777" w:rsidTr="006B4AC2">
        <w:tc>
          <w:tcPr>
            <w:tcW w:w="9497" w:type="dxa"/>
            <w:gridSpan w:val="2"/>
            <w:tcBorders>
              <w:left w:val="single" w:sz="4" w:space="0" w:color="auto"/>
              <w:right w:val="single" w:sz="4" w:space="0" w:color="auto"/>
            </w:tcBorders>
            <w:shd w:val="clear" w:color="auto" w:fill="auto"/>
            <w:tcMar>
              <w:top w:w="57" w:type="dxa"/>
              <w:bottom w:w="57" w:type="dxa"/>
            </w:tcMar>
          </w:tcPr>
          <w:p w14:paraId="38300EE3" w14:textId="77777777" w:rsidR="006B6B2E" w:rsidRPr="00B47DEB" w:rsidRDefault="006B6B2E" w:rsidP="006B4AC2">
            <w:pPr>
              <w:suppressAutoHyphens/>
              <w:spacing w:before="60"/>
              <w:jc w:val="both"/>
              <w:rPr>
                <w:sz w:val="22"/>
                <w:szCs w:val="22"/>
              </w:rPr>
            </w:pPr>
            <w:r w:rsidRPr="00B47DEB">
              <w:rPr>
                <w:sz w:val="22"/>
              </w:rPr>
              <w:t xml:space="preserve">Form of testing (exam / pract. mark / other): </w:t>
            </w:r>
            <w:r w:rsidR="00CA2C64">
              <w:rPr>
                <w:sz w:val="22"/>
              </w:rPr>
              <w:t>practical mark</w:t>
            </w:r>
          </w:p>
          <w:p w14:paraId="26B7F08F" w14:textId="3B4455F2" w:rsidR="006B6B2E" w:rsidRPr="00B47DEB" w:rsidRDefault="006B6B2E" w:rsidP="003E69EA">
            <w:pPr>
              <w:suppressAutoHyphens/>
              <w:spacing w:before="60"/>
              <w:jc w:val="both"/>
              <w:rPr>
                <w:sz w:val="22"/>
                <w:szCs w:val="22"/>
              </w:rPr>
            </w:pPr>
            <w:r w:rsidRPr="00B47DEB">
              <w:rPr>
                <w:sz w:val="22"/>
              </w:rPr>
              <w:t>Further (</w:t>
            </w:r>
            <w:r w:rsidRPr="00B47DEB">
              <w:rPr>
                <w:i/>
                <w:sz w:val="21"/>
              </w:rPr>
              <w:t>specific</w:t>
            </w:r>
            <w:r w:rsidRPr="00B47DEB">
              <w:rPr>
                <w:sz w:val="22"/>
              </w:rPr>
              <w:t>) forms to be applied in knowledge testing</w:t>
            </w:r>
            <w:r w:rsidRPr="00B47DEB">
              <w:rPr>
                <w:i/>
                <w:sz w:val="21"/>
              </w:rPr>
              <w:t>(if any)</w:t>
            </w:r>
            <w:r w:rsidRPr="00B47DEB">
              <w:rPr>
                <w:sz w:val="22"/>
              </w:rPr>
              <w:t>: ……………………..</w:t>
            </w:r>
          </w:p>
        </w:tc>
      </w:tr>
      <w:tr w:rsidR="006B6B2E" w:rsidRPr="00B47DEB" w14:paraId="2E044710" w14:textId="77777777"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4E124595" w14:textId="72C58E95" w:rsidR="006B6B2E" w:rsidRPr="00B47DEB" w:rsidRDefault="006B6B2E" w:rsidP="006B4AC2">
            <w:pPr>
              <w:suppressAutoHyphens/>
              <w:jc w:val="both"/>
              <w:rPr>
                <w:sz w:val="22"/>
                <w:szCs w:val="22"/>
              </w:rPr>
            </w:pPr>
            <w:r w:rsidRPr="00B47DEB">
              <w:rPr>
                <w:sz w:val="22"/>
              </w:rPr>
              <w:t xml:space="preserve">Position of the subject in the curriculum (number of the semester): </w:t>
            </w:r>
            <w:r w:rsidR="00CA2C64">
              <w:rPr>
                <w:sz w:val="22"/>
              </w:rPr>
              <w:t>5</w:t>
            </w:r>
            <w:r w:rsidR="00C056FC">
              <w:rPr>
                <w:sz w:val="22"/>
              </w:rPr>
              <w:t>th</w:t>
            </w:r>
          </w:p>
        </w:tc>
      </w:tr>
      <w:tr w:rsidR="006B6B2E" w:rsidRPr="00B47DEB" w14:paraId="7263C1C8" w14:textId="77777777"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7526F3CC" w14:textId="77777777" w:rsidR="006B6B2E" w:rsidRPr="00B47DEB" w:rsidRDefault="006B6B2E" w:rsidP="00CA2C64">
            <w:pPr>
              <w:suppressAutoHyphens/>
              <w:jc w:val="both"/>
              <w:rPr>
                <w:sz w:val="22"/>
                <w:szCs w:val="22"/>
              </w:rPr>
            </w:pPr>
            <w:r w:rsidRPr="00B47DEB">
              <w:rPr>
                <w:sz w:val="22"/>
              </w:rPr>
              <w:t xml:space="preserve">Required preliminary studies </w:t>
            </w:r>
            <w:r w:rsidRPr="00B47DEB">
              <w:rPr>
                <w:i/>
                <w:sz w:val="22"/>
              </w:rPr>
              <w:t>(if any)</w:t>
            </w:r>
            <w:r w:rsidRPr="00B47DEB">
              <w:rPr>
                <w:sz w:val="22"/>
              </w:rPr>
              <w:t>:</w:t>
            </w:r>
            <w:r w:rsidRPr="00B47DEB">
              <w:rPr>
                <w:i/>
                <w:sz w:val="22"/>
              </w:rPr>
              <w:t xml:space="preserve"> </w:t>
            </w:r>
            <w:r w:rsidR="00CA2C64">
              <w:rPr>
                <w:sz w:val="22"/>
              </w:rPr>
              <w:t>BBNAN00900</w:t>
            </w:r>
          </w:p>
        </w:tc>
      </w:tr>
    </w:tbl>
    <w:p w14:paraId="780E0C6A" w14:textId="77777777" w:rsidR="006B6B2E" w:rsidRPr="00B47DEB" w:rsidRDefault="006B6B2E" w:rsidP="006B6B2E">
      <w:pPr>
        <w:suppressAutoHyphens/>
        <w:rPr>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B6B2E" w:rsidRPr="00B47DEB" w14:paraId="5385E454" w14:textId="77777777" w:rsidTr="006B4AC2">
        <w:tc>
          <w:tcPr>
            <w:tcW w:w="9497"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4DFF3AF7" w14:textId="77777777" w:rsidR="006B6B2E" w:rsidRPr="00B47DEB" w:rsidRDefault="006B6B2E" w:rsidP="006B4AC2">
            <w:pPr>
              <w:suppressAutoHyphens/>
              <w:spacing w:before="60"/>
              <w:jc w:val="both"/>
              <w:rPr>
                <w:sz w:val="22"/>
                <w:szCs w:val="22"/>
              </w:rPr>
            </w:pPr>
            <w:r w:rsidRPr="00B47DEB">
              <w:rPr>
                <w:sz w:val="22"/>
              </w:rPr>
              <w:t>Description of the subject: the brief, still informative description of the knowledge to be attained</w:t>
            </w:r>
          </w:p>
        </w:tc>
      </w:tr>
      <w:tr w:rsidR="006B6B2E" w:rsidRPr="00B47DEB" w14:paraId="7993FB09" w14:textId="77777777" w:rsidTr="006B4AC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5295591C" w14:textId="77777777" w:rsidR="00091707" w:rsidRDefault="001E2D8C" w:rsidP="0008487D">
            <w:pPr>
              <w:jc w:val="both"/>
              <w:rPr>
                <w:sz w:val="22"/>
                <w:szCs w:val="22"/>
              </w:rPr>
            </w:pPr>
            <w:r>
              <w:rPr>
                <w:sz w:val="22"/>
                <w:szCs w:val="22"/>
              </w:rPr>
              <w:t>The course aims to familiarize students with the varied geography and history of Canada, this vast country, which is the home of a large number of indigenous and immigrant groups speaking different languages and belonging to different cultural backgrounds. Students will be given an opportunity to identify and understand a number of social and political issues arising from these specific features of the land including those of national identity, multiculturalism and regional tensions. Students will explore</w:t>
            </w:r>
            <w:r w:rsidR="00091707">
              <w:rPr>
                <w:sz w:val="22"/>
                <w:szCs w:val="22"/>
              </w:rPr>
              <w:t xml:space="preserve"> the</w:t>
            </w:r>
            <w:r>
              <w:rPr>
                <w:sz w:val="22"/>
                <w:szCs w:val="22"/>
              </w:rPr>
              <w:t xml:space="preserve"> connections between the material</w:t>
            </w:r>
            <w:r w:rsidR="00091707">
              <w:rPr>
                <w:sz w:val="22"/>
                <w:szCs w:val="22"/>
              </w:rPr>
              <w:t xml:space="preserve"> and physical landscape and its literary representations, which will enable them to better understand and accept values, traditions, cultures and religions sometimes quite different from their native ones.</w:t>
            </w:r>
          </w:p>
          <w:p w14:paraId="468864E8" w14:textId="77777777" w:rsidR="006B6B2E" w:rsidRPr="00B47DEB" w:rsidRDefault="00091707" w:rsidP="005601D0">
            <w:pPr>
              <w:jc w:val="both"/>
              <w:rPr>
                <w:sz w:val="22"/>
                <w:szCs w:val="22"/>
              </w:rPr>
            </w:pPr>
            <w:r>
              <w:rPr>
                <w:sz w:val="22"/>
                <w:szCs w:val="22"/>
              </w:rPr>
              <w:t>In the seminars, by reading and discussing texts, students will discover and discuss the characteristics of the natural environment and the social world of Canada; they will be shown the importance of the North as a place and a myth determining Canadian identity; they will examine the ethnic composition of the country made up of three large groups of aboriginal people and numerous immigrant communities</w:t>
            </w:r>
            <w:r w:rsidR="005601D0">
              <w:rPr>
                <w:sz w:val="22"/>
                <w:szCs w:val="22"/>
              </w:rPr>
              <w:t>, Hungarian Canadians among them, forming a cultural mosaic. These important aspects of the country will be illustrated by documentaries</w:t>
            </w:r>
            <w:r>
              <w:rPr>
                <w:sz w:val="22"/>
                <w:szCs w:val="22"/>
              </w:rPr>
              <w:t xml:space="preserve"> </w:t>
            </w:r>
            <w:r w:rsidR="005601D0">
              <w:rPr>
                <w:sz w:val="22"/>
                <w:szCs w:val="22"/>
              </w:rPr>
              <w:t>and excerpts from key literary works. By studying the symbols, traditions and festivals of Canada as well as trends in the arts and literature, students will be able to see the place of this officially bilingual country in a global context as well.</w:t>
            </w:r>
          </w:p>
        </w:tc>
      </w:tr>
      <w:tr w:rsidR="006B6B2E" w:rsidRPr="00B47DEB" w14:paraId="079AC348" w14:textId="77777777" w:rsidTr="006B4AC2">
        <w:tc>
          <w:tcPr>
            <w:tcW w:w="9497" w:type="dxa"/>
            <w:tcBorders>
              <w:left w:val="single" w:sz="4" w:space="0" w:color="auto"/>
              <w:bottom w:val="dotted" w:sz="4" w:space="0" w:color="auto"/>
              <w:right w:val="single" w:sz="4" w:space="0" w:color="auto"/>
            </w:tcBorders>
            <w:shd w:val="clear" w:color="auto" w:fill="auto"/>
            <w:tcMar>
              <w:top w:w="57" w:type="dxa"/>
              <w:bottom w:w="57" w:type="dxa"/>
            </w:tcMar>
            <w:vAlign w:val="center"/>
          </w:tcPr>
          <w:p w14:paraId="3D12718B" w14:textId="77777777" w:rsidR="006B6B2E" w:rsidRPr="00B47DEB" w:rsidRDefault="006B6B2E" w:rsidP="006B4AC2">
            <w:pPr>
              <w:suppressAutoHyphens/>
              <w:ind w:right="-108"/>
              <w:rPr>
                <w:sz w:val="22"/>
                <w:szCs w:val="22"/>
              </w:rPr>
            </w:pPr>
            <w:r w:rsidRPr="00B47DEB">
              <w:rPr>
                <w:sz w:val="22"/>
              </w:rPr>
              <w:t xml:space="preserve">List of the most important 2–5 pieces of </w:t>
            </w:r>
            <w:r w:rsidRPr="00B47DEB">
              <w:rPr>
                <w:i/>
                <w:sz w:val="22"/>
              </w:rPr>
              <w:t>required</w:t>
            </w:r>
            <w:r w:rsidRPr="00B47DEB">
              <w:rPr>
                <w:sz w:val="22"/>
              </w:rPr>
              <w:t xml:space="preserve"> and </w:t>
            </w:r>
            <w:r w:rsidRPr="00B47DEB">
              <w:rPr>
                <w:i/>
                <w:sz w:val="22"/>
              </w:rPr>
              <w:t xml:space="preserve">recommended </w:t>
            </w:r>
            <w:r w:rsidRPr="00B47DEB">
              <w:rPr>
                <w:sz w:val="22"/>
              </w:rPr>
              <w:t>literature (lecture notes, handbooks) with bibliographical details (author, title, edition information (or specific pages), ISBN)</w:t>
            </w:r>
          </w:p>
        </w:tc>
      </w:tr>
      <w:tr w:rsidR="006B6B2E" w:rsidRPr="00B47DEB" w14:paraId="27CC718B" w14:textId="77777777" w:rsidTr="006B4AC2">
        <w:tc>
          <w:tcPr>
            <w:tcW w:w="9497"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14:paraId="57425634" w14:textId="77777777" w:rsidR="00BC2C1B" w:rsidRPr="00CA2C64" w:rsidRDefault="00BC2C1B" w:rsidP="00BC2C1B">
            <w:pPr>
              <w:ind w:left="705"/>
              <w:rPr>
                <w:sz w:val="22"/>
                <w:szCs w:val="22"/>
              </w:rPr>
            </w:pPr>
            <w:r w:rsidRPr="00CA2C64">
              <w:rPr>
                <w:sz w:val="22"/>
                <w:szCs w:val="22"/>
              </w:rPr>
              <w:t>Required literature:</w:t>
            </w:r>
          </w:p>
          <w:p w14:paraId="26F1F9CF" w14:textId="77777777" w:rsidR="00BC2C1B" w:rsidRPr="00CA2C64" w:rsidRDefault="00BC2C1B" w:rsidP="00BC2C1B">
            <w:pPr>
              <w:ind w:left="705"/>
              <w:rPr>
                <w:sz w:val="22"/>
                <w:szCs w:val="22"/>
              </w:rPr>
            </w:pPr>
            <w:r w:rsidRPr="00CA2C64">
              <w:rPr>
                <w:sz w:val="22"/>
                <w:szCs w:val="22"/>
              </w:rPr>
              <w:t xml:space="preserve">Cameron, Elspeth, editor. </w:t>
            </w:r>
            <w:r w:rsidRPr="00CA2C64">
              <w:rPr>
                <w:i/>
                <w:iCs/>
                <w:sz w:val="22"/>
                <w:szCs w:val="22"/>
              </w:rPr>
              <w:t xml:space="preserve">Canadian Culture: An Introductory Reader. </w:t>
            </w:r>
            <w:r w:rsidRPr="00CA2C64">
              <w:rPr>
                <w:sz w:val="22"/>
                <w:szCs w:val="22"/>
              </w:rPr>
              <w:t>Toronto: Canadian Scholars’ Press, 1997. ISBN 1551300907</w:t>
            </w:r>
          </w:p>
          <w:p w14:paraId="2C0949C6" w14:textId="77777777" w:rsidR="00BC2C1B" w:rsidRPr="00CA2C64" w:rsidRDefault="00BC2C1B" w:rsidP="00BC2C1B">
            <w:pPr>
              <w:ind w:left="737"/>
              <w:rPr>
                <w:sz w:val="22"/>
                <w:szCs w:val="22"/>
              </w:rPr>
            </w:pPr>
            <w:r w:rsidRPr="00CA2C64">
              <w:rPr>
                <w:sz w:val="22"/>
                <w:szCs w:val="22"/>
              </w:rPr>
              <w:t xml:space="preserve">Lane, Richard J. </w:t>
            </w:r>
            <w:r w:rsidRPr="00CA2C64">
              <w:rPr>
                <w:i/>
                <w:sz w:val="22"/>
                <w:szCs w:val="22"/>
              </w:rPr>
              <w:t>The Routledge Concise History of Canadian Literature</w:t>
            </w:r>
            <w:r w:rsidRPr="00CA2C64">
              <w:rPr>
                <w:sz w:val="22"/>
                <w:szCs w:val="22"/>
              </w:rPr>
              <w:t>. Abingdon: Routledge, 2011. ISBN 9780415470452</w:t>
            </w:r>
          </w:p>
          <w:p w14:paraId="7B600705" w14:textId="77777777" w:rsidR="00BC2C1B" w:rsidRPr="00CA2C64" w:rsidRDefault="00BC2C1B" w:rsidP="00BC2C1B">
            <w:pPr>
              <w:ind w:left="737"/>
              <w:rPr>
                <w:sz w:val="22"/>
                <w:szCs w:val="22"/>
              </w:rPr>
            </w:pPr>
            <w:r w:rsidRPr="00CA2C64">
              <w:rPr>
                <w:sz w:val="22"/>
                <w:szCs w:val="22"/>
              </w:rPr>
              <w:t xml:space="preserve">Pryke, Kenneth G. and Walter C. Soderlund, editors. </w:t>
            </w:r>
            <w:r w:rsidRPr="00CA2C64">
              <w:rPr>
                <w:i/>
                <w:sz w:val="22"/>
                <w:szCs w:val="22"/>
              </w:rPr>
              <w:t>Profiles of Canada</w:t>
            </w:r>
            <w:r w:rsidRPr="00CA2C64">
              <w:rPr>
                <w:sz w:val="22"/>
                <w:szCs w:val="22"/>
              </w:rPr>
              <w:t>. Toronto: Canadian Scholars’ P, 2003. ISBN 9781551302263</w:t>
            </w:r>
          </w:p>
          <w:p w14:paraId="2DFA3FB5" w14:textId="77777777" w:rsidR="00CA2C64" w:rsidRDefault="00CA2C64" w:rsidP="00BC2C1B">
            <w:pPr>
              <w:ind w:left="737"/>
              <w:rPr>
                <w:sz w:val="22"/>
                <w:szCs w:val="22"/>
              </w:rPr>
            </w:pPr>
          </w:p>
          <w:p w14:paraId="746AC403" w14:textId="77777777" w:rsidR="00BC2C1B" w:rsidRPr="00CA2C64" w:rsidRDefault="00BC2C1B" w:rsidP="00BC2C1B">
            <w:pPr>
              <w:ind w:left="737"/>
              <w:rPr>
                <w:sz w:val="22"/>
                <w:szCs w:val="22"/>
              </w:rPr>
            </w:pPr>
            <w:r w:rsidRPr="00CA2C64">
              <w:rPr>
                <w:sz w:val="22"/>
                <w:szCs w:val="22"/>
              </w:rPr>
              <w:t>Recommended literature:</w:t>
            </w:r>
          </w:p>
          <w:p w14:paraId="3EEEAF4F" w14:textId="77777777" w:rsidR="00BC2C1B" w:rsidRPr="00CA2C64" w:rsidRDefault="00BC2C1B" w:rsidP="00BC2C1B">
            <w:pPr>
              <w:ind w:left="737"/>
              <w:rPr>
                <w:sz w:val="22"/>
                <w:szCs w:val="22"/>
              </w:rPr>
            </w:pPr>
            <w:r w:rsidRPr="00CA2C64">
              <w:rPr>
                <w:sz w:val="22"/>
                <w:szCs w:val="22"/>
              </w:rPr>
              <w:t>Georgieva, Maria and Diana Yankova</w:t>
            </w:r>
            <w:r w:rsidRPr="00CA2C64">
              <w:rPr>
                <w:i/>
                <w:sz w:val="22"/>
                <w:szCs w:val="22"/>
              </w:rPr>
              <w:t>. Canadian Kaleidoscope: An Anthology of Civilization Texts</w:t>
            </w:r>
            <w:r w:rsidRPr="00CA2C64">
              <w:rPr>
                <w:sz w:val="22"/>
                <w:szCs w:val="22"/>
              </w:rPr>
              <w:t>. Sofia: St. Kliment Ohridski UP, 2006. ISBN 9789540724331</w:t>
            </w:r>
          </w:p>
          <w:p w14:paraId="502147CD" w14:textId="0D2DF707" w:rsidR="006B6B2E" w:rsidRPr="00CA2C64" w:rsidRDefault="00BC2C1B" w:rsidP="003E69EA">
            <w:pPr>
              <w:ind w:left="737"/>
              <w:rPr>
                <w:sz w:val="22"/>
                <w:szCs w:val="22"/>
              </w:rPr>
            </w:pPr>
            <w:r w:rsidRPr="00CA2C64">
              <w:rPr>
                <w:sz w:val="22"/>
                <w:szCs w:val="22"/>
              </w:rPr>
              <w:t xml:space="preserve">Moss, Laura and Cynthia Sugars, editors. </w:t>
            </w:r>
            <w:r w:rsidRPr="00CA2C64">
              <w:rPr>
                <w:i/>
                <w:sz w:val="22"/>
                <w:szCs w:val="22"/>
              </w:rPr>
              <w:t>Canadian Literature in English: Texts and Contexts</w:t>
            </w:r>
            <w:r w:rsidRPr="00CA2C64">
              <w:rPr>
                <w:sz w:val="22"/>
                <w:szCs w:val="22"/>
              </w:rPr>
              <w:t>. Toronto: Pearson/Penguin, 2009. 2 vols. ISBN 9780321313621</w:t>
            </w:r>
          </w:p>
        </w:tc>
      </w:tr>
    </w:tbl>
    <w:p w14:paraId="2E4AB0B6" w14:textId="77777777" w:rsidR="00156CC1" w:rsidRDefault="00156CC1" w:rsidP="006B6B2E"/>
    <w:sectPr w:rsidR="00156CC1" w:rsidSect="006B6B2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13F7B" w14:textId="77777777" w:rsidR="00EF78AB" w:rsidRDefault="00EF78AB" w:rsidP="006B6B2E">
      <w:r>
        <w:separator/>
      </w:r>
    </w:p>
  </w:endnote>
  <w:endnote w:type="continuationSeparator" w:id="0">
    <w:p w14:paraId="51662D2F" w14:textId="77777777" w:rsidR="00EF78AB" w:rsidRDefault="00EF78AB" w:rsidP="006B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31247" w14:textId="77777777" w:rsidR="00EF78AB" w:rsidRDefault="00EF78AB" w:rsidP="006B6B2E">
      <w:r>
        <w:separator/>
      </w:r>
    </w:p>
  </w:footnote>
  <w:footnote w:type="continuationSeparator" w:id="0">
    <w:p w14:paraId="2735C399" w14:textId="77777777" w:rsidR="00EF78AB" w:rsidRDefault="00EF78AB" w:rsidP="006B6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2E"/>
    <w:rsid w:val="0008487D"/>
    <w:rsid w:val="00091707"/>
    <w:rsid w:val="000A374A"/>
    <w:rsid w:val="00156CC1"/>
    <w:rsid w:val="001B7B2B"/>
    <w:rsid w:val="001E2D8C"/>
    <w:rsid w:val="003259DE"/>
    <w:rsid w:val="003E69EA"/>
    <w:rsid w:val="004D13CF"/>
    <w:rsid w:val="005601D0"/>
    <w:rsid w:val="006B6B2E"/>
    <w:rsid w:val="008C6B68"/>
    <w:rsid w:val="00BC2C1B"/>
    <w:rsid w:val="00C056FC"/>
    <w:rsid w:val="00CA2C64"/>
    <w:rsid w:val="00EF78A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15A3A"/>
  <w15:docId w15:val="{183649C7-135E-4A20-9D1A-9F96EEEE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B2E"/>
    <w:pPr>
      <w:spacing w:after="0" w:line="240" w:lineRule="auto"/>
    </w:pPr>
    <w:rPr>
      <w:rFonts w:ascii="Times New Roman" w:eastAsia="Times New Roman" w:hAnsi="Times New Roman" w:cs="Times New Roman"/>
      <w:sz w:val="20"/>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6B6B2E"/>
    <w:rPr>
      <w:vertAlign w:val="superscript"/>
    </w:rPr>
  </w:style>
  <w:style w:type="paragraph" w:styleId="Lbjegyzetszveg">
    <w:name w:val="footnote text"/>
    <w:basedOn w:val="Norml"/>
    <w:link w:val="LbjegyzetszvegChar"/>
    <w:semiHidden/>
    <w:rsid w:val="006B6B2E"/>
  </w:style>
  <w:style w:type="character" w:customStyle="1" w:styleId="LbjegyzetszvegChar">
    <w:name w:val="Lábjegyzetszöveg Char"/>
    <w:basedOn w:val="Bekezdsalapbettpusa"/>
    <w:link w:val="Lbjegyzetszveg"/>
    <w:semiHidden/>
    <w:rsid w:val="006B6B2E"/>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421</Words>
  <Characters>2905</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bbkati</cp:lastModifiedBy>
  <cp:revision>7</cp:revision>
  <dcterms:created xsi:type="dcterms:W3CDTF">2017-01-03T20:29:00Z</dcterms:created>
  <dcterms:modified xsi:type="dcterms:W3CDTF">2018-08-31T22:14:00Z</dcterms:modified>
</cp:coreProperties>
</file>