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14:paraId="09346B57" w14:textId="77777777" w:rsidTr="006B4AC2">
        <w:tc>
          <w:tcPr>
            <w:tcW w:w="7088" w:type="dxa"/>
            <w:tcBorders>
              <w:top w:val="single" w:sz="4" w:space="0" w:color="auto"/>
              <w:left w:val="single" w:sz="4" w:space="0" w:color="auto"/>
            </w:tcBorders>
            <w:shd w:val="clear" w:color="auto" w:fill="auto"/>
            <w:tcMar>
              <w:top w:w="57" w:type="dxa"/>
              <w:bottom w:w="57" w:type="dxa"/>
            </w:tcMar>
          </w:tcPr>
          <w:p w14:paraId="6EB6A967" w14:textId="77777777" w:rsidR="006B6B2E" w:rsidRPr="00B47DEB" w:rsidRDefault="006B6B2E" w:rsidP="00190518">
            <w:pPr>
              <w:suppressAutoHyphens/>
              <w:jc w:val="both"/>
              <w:rPr>
                <w:i/>
                <w:sz w:val="22"/>
                <w:szCs w:val="22"/>
              </w:rPr>
            </w:pPr>
            <w:r w:rsidRPr="00B47DEB">
              <w:rPr>
                <w:sz w:val="22"/>
              </w:rPr>
              <w:t xml:space="preserve">Title of the subject: </w:t>
            </w:r>
            <w:bookmarkStart w:id="0" w:name="_GoBack"/>
            <w:r w:rsidR="00190518">
              <w:rPr>
                <w:sz w:val="22"/>
              </w:rPr>
              <w:t>Current Social and Political Issues in the United States</w:t>
            </w:r>
            <w:bookmarkEnd w:id="0"/>
          </w:p>
        </w:tc>
        <w:tc>
          <w:tcPr>
            <w:tcW w:w="2409" w:type="dxa"/>
            <w:tcBorders>
              <w:top w:val="single" w:sz="4" w:space="0" w:color="auto"/>
              <w:right w:val="single" w:sz="4" w:space="0" w:color="auto"/>
            </w:tcBorders>
            <w:shd w:val="clear" w:color="auto" w:fill="auto"/>
            <w:tcMar>
              <w:top w:w="57" w:type="dxa"/>
              <w:bottom w:w="57" w:type="dxa"/>
            </w:tcMar>
          </w:tcPr>
          <w:p w14:paraId="708DC110" w14:textId="77777777" w:rsidR="006B6B2E" w:rsidRPr="00B47DEB" w:rsidRDefault="006B6B2E" w:rsidP="006B4AC2">
            <w:pPr>
              <w:suppressAutoHyphens/>
              <w:spacing w:before="60"/>
              <w:jc w:val="both"/>
              <w:rPr>
                <w:sz w:val="22"/>
                <w:szCs w:val="22"/>
              </w:rPr>
            </w:pPr>
            <w:r w:rsidRPr="00B47DEB">
              <w:rPr>
                <w:sz w:val="22"/>
              </w:rPr>
              <w:t xml:space="preserve">Credit value: </w:t>
            </w:r>
            <w:r w:rsidR="00190518">
              <w:rPr>
                <w:sz w:val="22"/>
              </w:rPr>
              <w:t>4</w:t>
            </w:r>
          </w:p>
        </w:tc>
      </w:tr>
      <w:tr w:rsidR="006B6B2E" w:rsidRPr="00B47DEB" w14:paraId="09DD8970" w14:textId="77777777"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B06AB11" w14:textId="77777777" w:rsidR="006B6B2E" w:rsidRPr="00B47DEB" w:rsidRDefault="006B6B2E" w:rsidP="00190518">
            <w:pPr>
              <w:suppressAutoHyphens/>
              <w:spacing w:before="60"/>
              <w:jc w:val="both"/>
              <w:rPr>
                <w:sz w:val="22"/>
                <w:szCs w:val="22"/>
              </w:rPr>
            </w:pPr>
            <w:r w:rsidRPr="00B47DEB">
              <w:rPr>
                <w:sz w:val="22"/>
              </w:rPr>
              <w:t xml:space="preserve">Category of the subject: optional </w:t>
            </w:r>
          </w:p>
        </w:tc>
      </w:tr>
      <w:tr w:rsidR="006B6B2E" w:rsidRPr="00B47DEB" w14:paraId="5C2C5890" w14:textId="77777777" w:rsidTr="006B4AC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EE547F" w14:textId="77777777" w:rsidR="006B6B2E" w:rsidRPr="00B47DEB" w:rsidRDefault="006B6B2E" w:rsidP="00190518">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Pr="00B47DEB">
              <w:rPr>
                <w:rStyle w:val="Lbjegyzet-hivatkozs"/>
                <w:sz w:val="22"/>
              </w:rPr>
              <w:footnoteReference w:id="1"/>
            </w:r>
            <w:r w:rsidRPr="00B47DEB">
              <w:rPr>
                <w:sz w:val="22"/>
              </w:rPr>
              <w:t xml:space="preserve">: </w:t>
            </w:r>
            <w:r w:rsidR="00190518">
              <w:rPr>
                <w:sz w:val="22"/>
              </w:rPr>
              <w:t>practical 100%</w:t>
            </w:r>
            <w:r w:rsidRPr="00B47DEB">
              <w:rPr>
                <w:sz w:val="22"/>
              </w:rPr>
              <w:t xml:space="preserve"> (credit%)</w:t>
            </w:r>
          </w:p>
        </w:tc>
      </w:tr>
      <w:tr w:rsidR="006B6B2E" w:rsidRPr="00B47DEB" w14:paraId="47648EC0" w14:textId="77777777" w:rsidTr="006B4AC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2C4E70A5" w14:textId="77777777" w:rsidR="006B6B2E" w:rsidRPr="00B47DEB" w:rsidRDefault="006B6B2E" w:rsidP="006B4AC2">
            <w:pPr>
              <w:suppressAutoHyphens/>
              <w:spacing w:before="60"/>
              <w:jc w:val="both"/>
              <w:rPr>
                <w:sz w:val="22"/>
                <w:szCs w:val="22"/>
              </w:rPr>
            </w:pPr>
            <w:r w:rsidRPr="00B47DEB">
              <w:rPr>
                <w:sz w:val="22"/>
              </w:rPr>
              <w:t xml:space="preserve">Type of the class: sem. </w:t>
            </w:r>
            <w:r w:rsidR="007D06CF">
              <w:rPr>
                <w:sz w:val="22"/>
              </w:rPr>
              <w:t>and number of classes: 26</w:t>
            </w:r>
            <w:r w:rsidRPr="00B47DEB">
              <w:rPr>
                <w:sz w:val="22"/>
              </w:rPr>
              <w:t xml:space="preserve"> in the given semester,</w:t>
            </w:r>
          </w:p>
          <w:p w14:paraId="584425BC" w14:textId="77777777" w:rsidR="006B6B2E" w:rsidRPr="00B47DEB" w:rsidRDefault="006B6B2E" w:rsidP="006B4AC2">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7D06CF">
              <w:rPr>
                <w:i/>
                <w:sz w:val="22"/>
              </w:rPr>
              <w:t>English</w:t>
            </w:r>
            <w:r w:rsidRPr="00B47DEB">
              <w:rPr>
                <w:i/>
                <w:sz w:val="22"/>
              </w:rPr>
              <w:t>)</w:t>
            </w:r>
          </w:p>
          <w:p w14:paraId="49687530" w14:textId="77777777"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2"/>
            </w:r>
            <w:r w:rsidRPr="00B47DEB">
              <w:rPr>
                <w:sz w:val="22"/>
              </w:rPr>
              <w:t xml:space="preserve"> of the transfer of the given knowledge</w:t>
            </w:r>
            <w:r>
              <w:rPr>
                <w:sz w:val="22"/>
              </w:rPr>
              <w:t xml:space="preserve"> </w:t>
            </w:r>
            <w:r w:rsidRPr="00B47DEB">
              <w:rPr>
                <w:i/>
                <w:sz w:val="21"/>
              </w:rPr>
              <w:t>(if any)</w:t>
            </w:r>
            <w:r w:rsidRPr="00B47DEB">
              <w:rPr>
                <w:sz w:val="22"/>
              </w:rPr>
              <w:t>: ………………………..</w:t>
            </w:r>
          </w:p>
        </w:tc>
      </w:tr>
      <w:tr w:rsidR="006B6B2E" w:rsidRPr="00B47DEB" w14:paraId="2816C7D4" w14:textId="77777777" w:rsidTr="006B4AC2">
        <w:tc>
          <w:tcPr>
            <w:tcW w:w="9497" w:type="dxa"/>
            <w:gridSpan w:val="2"/>
            <w:tcBorders>
              <w:left w:val="single" w:sz="4" w:space="0" w:color="auto"/>
              <w:right w:val="single" w:sz="4" w:space="0" w:color="auto"/>
            </w:tcBorders>
            <w:shd w:val="clear" w:color="auto" w:fill="auto"/>
            <w:tcMar>
              <w:top w:w="57" w:type="dxa"/>
              <w:bottom w:w="57" w:type="dxa"/>
            </w:tcMar>
          </w:tcPr>
          <w:p w14:paraId="77C52D32" w14:textId="77777777" w:rsidR="006B6B2E" w:rsidRPr="00B47DEB" w:rsidRDefault="006B6B2E" w:rsidP="006B4AC2">
            <w:pPr>
              <w:suppressAutoHyphens/>
              <w:spacing w:before="60"/>
              <w:jc w:val="both"/>
              <w:rPr>
                <w:sz w:val="22"/>
                <w:szCs w:val="22"/>
              </w:rPr>
            </w:pPr>
            <w:r w:rsidRPr="00B47DEB">
              <w:rPr>
                <w:sz w:val="22"/>
              </w:rPr>
              <w:t xml:space="preserve">Form of testing (exam / pract. mark / other): </w:t>
            </w:r>
            <w:r w:rsidR="007D06CF">
              <w:rPr>
                <w:sz w:val="22"/>
              </w:rPr>
              <w:t>practical mark</w:t>
            </w:r>
          </w:p>
          <w:p w14:paraId="6263C203" w14:textId="77777777"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3"/>
            </w:r>
            <w:r w:rsidRPr="00B47DEB">
              <w:rPr>
                <w:sz w:val="22"/>
              </w:rPr>
              <w:t xml:space="preserve"> knowledge testing</w:t>
            </w:r>
            <w:r w:rsidRPr="00B47DEB">
              <w:rPr>
                <w:i/>
                <w:sz w:val="21"/>
              </w:rPr>
              <w:t>(if any)</w:t>
            </w:r>
            <w:r w:rsidRPr="00B47DEB">
              <w:rPr>
                <w:sz w:val="22"/>
              </w:rPr>
              <w:t>: ……………………..</w:t>
            </w:r>
          </w:p>
        </w:tc>
      </w:tr>
      <w:tr w:rsidR="006B6B2E" w:rsidRPr="00B47DEB" w14:paraId="5D736A6D" w14:textId="77777777"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CFCE896" w14:textId="77777777" w:rsidR="006B6B2E" w:rsidRPr="00B47DEB" w:rsidRDefault="006B6B2E" w:rsidP="006B4AC2">
            <w:pPr>
              <w:suppressAutoHyphens/>
              <w:jc w:val="both"/>
              <w:rPr>
                <w:sz w:val="22"/>
                <w:szCs w:val="22"/>
              </w:rPr>
            </w:pPr>
            <w:r w:rsidRPr="00B47DEB">
              <w:rPr>
                <w:sz w:val="22"/>
              </w:rPr>
              <w:t xml:space="preserve">Position of the subject in the curriculum (number of the semester): </w:t>
            </w:r>
            <w:r w:rsidR="007D06CF">
              <w:rPr>
                <w:sz w:val="22"/>
              </w:rPr>
              <w:t>3rd</w:t>
            </w:r>
          </w:p>
        </w:tc>
      </w:tr>
      <w:tr w:rsidR="006B6B2E" w:rsidRPr="00B47DEB" w14:paraId="7940916D" w14:textId="77777777"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FC6D0AF" w14:textId="77777777" w:rsidR="006B6B2E" w:rsidRPr="00B47DEB" w:rsidRDefault="006B6B2E" w:rsidP="007D06CF">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7D06CF">
              <w:rPr>
                <w:sz w:val="22"/>
              </w:rPr>
              <w:t>BBNAN00900</w:t>
            </w:r>
          </w:p>
        </w:tc>
      </w:tr>
    </w:tbl>
    <w:p w14:paraId="3D180A38" w14:textId="77777777"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gridCol w:w="459"/>
      </w:tblGrid>
      <w:tr w:rsidR="006B6B2E" w:rsidRPr="00B47DEB" w14:paraId="44F3CBBF" w14:textId="77777777" w:rsidTr="007D06CF">
        <w:tc>
          <w:tcPr>
            <w:tcW w:w="9497"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5E4CD77D" w14:textId="77777777" w:rsidR="006B6B2E" w:rsidRPr="00B47DEB" w:rsidRDefault="006B6B2E" w:rsidP="006B4AC2">
            <w:pPr>
              <w:suppressAutoHyphens/>
              <w:spacing w:before="60"/>
              <w:jc w:val="both"/>
              <w:rPr>
                <w:sz w:val="22"/>
                <w:szCs w:val="22"/>
              </w:rPr>
            </w:pPr>
            <w:r w:rsidRPr="00B47DEB">
              <w:rPr>
                <w:sz w:val="22"/>
              </w:rPr>
              <w:t>Description of the subject: the brief, still informative description of the knowledge to be attained</w:t>
            </w:r>
          </w:p>
        </w:tc>
      </w:tr>
      <w:tr w:rsidR="007D06CF" w:rsidRPr="00BE16DC" w14:paraId="1FC5B35F" w14:textId="77777777" w:rsidTr="007D06CF">
        <w:trPr>
          <w:gridAfter w:val="1"/>
          <w:wAfter w:w="459" w:type="dxa"/>
          <w:trHeight w:val="280"/>
        </w:trPr>
        <w:tc>
          <w:tcPr>
            <w:tcW w:w="9038" w:type="dxa"/>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14:paraId="57DC4975" w14:textId="77777777" w:rsidR="007D06CF" w:rsidRDefault="007D06CF" w:rsidP="00EC6A18">
            <w:pPr>
              <w:ind w:left="34"/>
              <w:rPr>
                <w:sz w:val="22"/>
                <w:szCs w:val="22"/>
              </w:rPr>
            </w:pPr>
            <w:r>
              <w:rPr>
                <w:sz w:val="22"/>
                <w:szCs w:val="22"/>
              </w:rPr>
              <w:t xml:space="preserve">The course is building on the introductory courses on American history and society; its objective is to develop students’ familiarity with the US by focusing on current social and political issues and employing an analytical approach. The primary focus is on contemporary United States, but special attention will be devoted to historical background of current social and political phenomena. Students are expected to do their own research in their chosen topic, find articles and secondary literature, examine each problem from multiple points of view and participate actively in classroom discussion. </w:t>
            </w:r>
          </w:p>
          <w:p w14:paraId="38FAFCFF" w14:textId="77777777" w:rsidR="007D06CF" w:rsidRDefault="007D06CF" w:rsidP="00EC6A18">
            <w:pPr>
              <w:ind w:left="34"/>
              <w:rPr>
                <w:sz w:val="22"/>
                <w:szCs w:val="22"/>
              </w:rPr>
            </w:pPr>
          </w:p>
          <w:p w14:paraId="0FC8A745" w14:textId="77777777" w:rsidR="007D06CF" w:rsidRPr="00BE16DC" w:rsidRDefault="007D06CF" w:rsidP="007D06CF">
            <w:pPr>
              <w:ind w:left="34"/>
              <w:rPr>
                <w:sz w:val="22"/>
                <w:szCs w:val="22"/>
              </w:rPr>
            </w:pPr>
            <w:r>
              <w:rPr>
                <w:sz w:val="22"/>
                <w:szCs w:val="22"/>
              </w:rPr>
              <w:t xml:space="preserve">The course will focus on some of the following issues (the list is incomplete): legal and illegal immigration, racial and ethnic tensions, the problems of abortion and gun ownership, social polarization and the impoverishing middle class, controversial aspects of the political and electoral system, civil rights, political influence in the news media, the role of religion in public life. </w:t>
            </w:r>
          </w:p>
        </w:tc>
      </w:tr>
      <w:tr w:rsidR="006B6B2E" w:rsidRPr="00B47DEB" w14:paraId="6AD2B72E" w14:textId="77777777" w:rsidTr="007D06CF">
        <w:trPr>
          <w:trHeight w:val="280"/>
        </w:trPr>
        <w:tc>
          <w:tcPr>
            <w:tcW w:w="9497"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7E7F0AEA" w14:textId="77777777" w:rsidR="006B6B2E" w:rsidRPr="00B47DEB" w:rsidRDefault="006B6B2E" w:rsidP="006B4AC2">
            <w:pPr>
              <w:suppressAutoHyphens/>
              <w:ind w:left="34"/>
              <w:rPr>
                <w:sz w:val="22"/>
                <w:szCs w:val="22"/>
              </w:rPr>
            </w:pPr>
          </w:p>
        </w:tc>
      </w:tr>
      <w:tr w:rsidR="006B6B2E" w:rsidRPr="00B47DEB" w14:paraId="5B700C8D" w14:textId="77777777" w:rsidTr="007D06CF">
        <w:tc>
          <w:tcPr>
            <w:tcW w:w="9497"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30CA4970" w14:textId="77777777" w:rsidR="006B6B2E" w:rsidRPr="00B47DEB" w:rsidRDefault="006B6B2E" w:rsidP="006B4AC2">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6B6B2E" w:rsidRPr="00B47DEB" w14:paraId="7BC6583A" w14:textId="77777777" w:rsidTr="007D06CF">
        <w:tc>
          <w:tcPr>
            <w:tcW w:w="9497"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49CEF4C3" w14:textId="2390B748" w:rsidR="002D0032" w:rsidRDefault="002D0032" w:rsidP="002D0032">
            <w:pPr>
              <w:numPr>
                <w:ilvl w:val="0"/>
                <w:numId w:val="2"/>
              </w:numPr>
              <w:shd w:val="clear" w:color="auto" w:fill="FFFFFF"/>
              <w:ind w:left="0"/>
              <w:rPr>
                <w:color w:val="32322F"/>
                <w:sz w:val="22"/>
                <w:szCs w:val="22"/>
              </w:rPr>
            </w:pPr>
            <w:r>
              <w:rPr>
                <w:color w:val="32322F"/>
                <w:sz w:val="22"/>
                <w:szCs w:val="22"/>
              </w:rPr>
              <w:t>Required Literature:</w:t>
            </w:r>
          </w:p>
          <w:p w14:paraId="1BC46189" w14:textId="77777777" w:rsidR="002D0032" w:rsidRDefault="002D0032" w:rsidP="002D0032">
            <w:pPr>
              <w:numPr>
                <w:ilvl w:val="0"/>
                <w:numId w:val="2"/>
              </w:numPr>
              <w:shd w:val="clear" w:color="auto" w:fill="FFFFFF"/>
              <w:ind w:left="0"/>
              <w:rPr>
                <w:color w:val="32322F"/>
                <w:sz w:val="22"/>
                <w:szCs w:val="22"/>
              </w:rPr>
            </w:pPr>
            <w:r>
              <w:rPr>
                <w:color w:val="32322F"/>
                <w:sz w:val="22"/>
                <w:szCs w:val="22"/>
              </w:rPr>
              <w:t xml:space="preserve">Campbell, Neil – Alasdair Kean. </w:t>
            </w:r>
            <w:r>
              <w:rPr>
                <w:i/>
                <w:color w:val="32322F"/>
                <w:sz w:val="22"/>
                <w:szCs w:val="22"/>
              </w:rPr>
              <w:t xml:space="preserve">American Cultural Studies. An Introduction to American Culture. </w:t>
            </w:r>
            <w:r>
              <w:rPr>
                <w:color w:val="32322F"/>
                <w:sz w:val="22"/>
                <w:szCs w:val="22"/>
              </w:rPr>
              <w:t>Routledge, 2016. ISBN: 9781138833142</w:t>
            </w:r>
          </w:p>
          <w:p w14:paraId="57DE8163" w14:textId="77777777" w:rsidR="002D0032" w:rsidRDefault="002D0032" w:rsidP="002D0032">
            <w:pPr>
              <w:numPr>
                <w:ilvl w:val="0"/>
                <w:numId w:val="2"/>
              </w:numPr>
              <w:shd w:val="clear" w:color="auto" w:fill="FFFFFF"/>
              <w:ind w:left="0"/>
              <w:rPr>
                <w:color w:val="32322F"/>
                <w:sz w:val="22"/>
                <w:szCs w:val="22"/>
              </w:rPr>
            </w:pPr>
          </w:p>
          <w:p w14:paraId="0E16992C" w14:textId="3D57C09E" w:rsidR="002D0032" w:rsidRPr="00E14ADE" w:rsidRDefault="002D0032" w:rsidP="002D0032">
            <w:pPr>
              <w:numPr>
                <w:ilvl w:val="0"/>
                <w:numId w:val="2"/>
              </w:numPr>
              <w:shd w:val="clear" w:color="auto" w:fill="FFFFFF"/>
              <w:ind w:left="0"/>
              <w:rPr>
                <w:color w:val="32322F"/>
                <w:sz w:val="22"/>
                <w:szCs w:val="22"/>
              </w:rPr>
            </w:pPr>
            <w:r>
              <w:rPr>
                <w:color w:val="32322F"/>
                <w:sz w:val="22"/>
                <w:szCs w:val="22"/>
              </w:rPr>
              <w:t>Recommended Literature</w:t>
            </w:r>
            <w:r w:rsidRPr="00E14ADE">
              <w:rPr>
                <w:color w:val="32322F"/>
                <w:sz w:val="22"/>
                <w:szCs w:val="22"/>
              </w:rPr>
              <w:t>:</w:t>
            </w:r>
          </w:p>
          <w:p w14:paraId="13FED72C" w14:textId="77777777" w:rsidR="002D0032" w:rsidRPr="00E14ADE" w:rsidRDefault="002D0032" w:rsidP="002D0032">
            <w:pPr>
              <w:numPr>
                <w:ilvl w:val="0"/>
                <w:numId w:val="2"/>
              </w:numPr>
              <w:shd w:val="clear" w:color="auto" w:fill="FFFFFF"/>
              <w:ind w:left="0"/>
              <w:rPr>
                <w:color w:val="32322F"/>
                <w:sz w:val="22"/>
                <w:szCs w:val="22"/>
              </w:rPr>
            </w:pPr>
            <w:r w:rsidRPr="00E14ADE">
              <w:rPr>
                <w:sz w:val="22"/>
                <w:szCs w:val="22"/>
              </w:rPr>
              <w:t xml:space="preserve">Ojeda, Auriana ed. </w:t>
            </w:r>
            <w:r w:rsidRPr="00E14ADE">
              <w:rPr>
                <w:i/>
                <w:sz w:val="22"/>
                <w:szCs w:val="22"/>
              </w:rPr>
              <w:t xml:space="preserve">Civil Liberties: Opposing Viewpoints. </w:t>
            </w:r>
            <w:r w:rsidRPr="00E14ADE">
              <w:rPr>
                <w:sz w:val="22"/>
                <w:szCs w:val="22"/>
              </w:rPr>
              <w:t xml:space="preserve">San Diego: Greenhaven Press, 2004. ISBN: </w:t>
            </w:r>
            <w:r w:rsidRPr="00E14ADE">
              <w:rPr>
                <w:color w:val="32322F"/>
                <w:sz w:val="22"/>
                <w:szCs w:val="22"/>
              </w:rPr>
              <w:t>0737716754</w:t>
            </w:r>
          </w:p>
          <w:p w14:paraId="32917094" w14:textId="77777777" w:rsidR="002D0032" w:rsidRPr="00E14ADE" w:rsidRDefault="002D0032" w:rsidP="002D0032">
            <w:pPr>
              <w:numPr>
                <w:ilvl w:val="0"/>
                <w:numId w:val="3"/>
              </w:numPr>
              <w:shd w:val="clear" w:color="auto" w:fill="FFFFFF"/>
              <w:ind w:left="0"/>
              <w:rPr>
                <w:color w:val="32322F"/>
                <w:sz w:val="22"/>
                <w:szCs w:val="22"/>
              </w:rPr>
            </w:pPr>
            <w:r w:rsidRPr="00E14ADE">
              <w:rPr>
                <w:color w:val="32322F"/>
                <w:sz w:val="22"/>
                <w:szCs w:val="22"/>
              </w:rPr>
              <w:t xml:space="preserve">Williams, Mary ed. </w:t>
            </w:r>
            <w:r w:rsidRPr="00E14ADE">
              <w:rPr>
                <w:i/>
                <w:color w:val="32322F"/>
                <w:sz w:val="22"/>
                <w:szCs w:val="22"/>
              </w:rPr>
              <w:t>Immigration: Opposing Viewpoints.</w:t>
            </w:r>
            <w:r w:rsidRPr="00E14ADE">
              <w:rPr>
                <w:color w:val="32322F"/>
                <w:sz w:val="22"/>
                <w:szCs w:val="22"/>
              </w:rPr>
              <w:t xml:space="preserve"> San Diego: Greenhaven Press, 2004. ISBN: 0737716916</w:t>
            </w:r>
          </w:p>
          <w:p w14:paraId="10989D15" w14:textId="77777777" w:rsidR="002D0032" w:rsidRPr="00811BA6" w:rsidRDefault="002D0032" w:rsidP="002D0032">
            <w:pPr>
              <w:shd w:val="clear" w:color="auto" w:fill="FFFFFF"/>
              <w:rPr>
                <w:color w:val="32322F"/>
                <w:sz w:val="22"/>
                <w:szCs w:val="22"/>
              </w:rPr>
            </w:pPr>
            <w:r>
              <w:rPr>
                <w:color w:val="32322F"/>
                <w:sz w:val="22"/>
                <w:szCs w:val="22"/>
              </w:rPr>
              <w:t xml:space="preserve">Torr, James D. ed. </w:t>
            </w:r>
            <w:r>
              <w:rPr>
                <w:i/>
                <w:color w:val="32322F"/>
                <w:sz w:val="22"/>
                <w:szCs w:val="22"/>
              </w:rPr>
              <w:t xml:space="preserve">Race Relations: Opposing Viewpoints. </w:t>
            </w:r>
            <w:r w:rsidRPr="00E14ADE">
              <w:rPr>
                <w:color w:val="32322F"/>
                <w:sz w:val="22"/>
                <w:szCs w:val="22"/>
              </w:rPr>
              <w:t>San Diego: Greenhaven Press, 2004.</w:t>
            </w:r>
            <w:r>
              <w:rPr>
                <w:color w:val="32322F"/>
                <w:sz w:val="22"/>
                <w:szCs w:val="22"/>
              </w:rPr>
              <w:t xml:space="preserve"> ISBN: 0737707615</w:t>
            </w:r>
          </w:p>
          <w:p w14:paraId="749E6645" w14:textId="77777777" w:rsidR="006B6B2E" w:rsidRPr="00B47DEB" w:rsidRDefault="006B6B2E" w:rsidP="006B4AC2">
            <w:pPr>
              <w:suppressAutoHyphens/>
              <w:ind w:left="34"/>
              <w:rPr>
                <w:sz w:val="22"/>
                <w:szCs w:val="22"/>
              </w:rPr>
            </w:pPr>
          </w:p>
        </w:tc>
      </w:tr>
    </w:tbl>
    <w:p w14:paraId="111814A2" w14:textId="77777777" w:rsidR="00156CC1" w:rsidRDefault="00156CC1" w:rsidP="006B6B2E"/>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DED1" w14:textId="77777777" w:rsidR="00804836" w:rsidRDefault="00804836" w:rsidP="006B6B2E">
      <w:r>
        <w:separator/>
      </w:r>
    </w:p>
  </w:endnote>
  <w:endnote w:type="continuationSeparator" w:id="0">
    <w:p w14:paraId="06E21CF9" w14:textId="77777777" w:rsidR="00804836" w:rsidRDefault="00804836"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C46C" w14:textId="77777777" w:rsidR="00804836" w:rsidRDefault="00804836" w:rsidP="006B6B2E">
      <w:r>
        <w:separator/>
      </w:r>
    </w:p>
  </w:footnote>
  <w:footnote w:type="continuationSeparator" w:id="0">
    <w:p w14:paraId="05114053" w14:textId="77777777" w:rsidR="00804836" w:rsidRDefault="00804836" w:rsidP="006B6B2E">
      <w:r>
        <w:continuationSeparator/>
      </w:r>
    </w:p>
  </w:footnote>
  <w:footnote w:id="1">
    <w:p w14:paraId="2A4BE56A" w14:textId="77777777" w:rsidR="006B6B2E" w:rsidRDefault="006B6B2E" w:rsidP="006B6B2E">
      <w:pPr>
        <w:pStyle w:val="Lbjegyzetszveg"/>
        <w:suppressAutoHyphens/>
      </w:pPr>
      <w:r>
        <w:rPr>
          <w:rStyle w:val="Lbjegyzet-hivatkozs"/>
        </w:rPr>
        <w:footnoteRef/>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14:paraId="3CACE0FC" w14:textId="77777777" w:rsidR="006B6B2E" w:rsidRPr="0000385F" w:rsidRDefault="006B6B2E" w:rsidP="006B6B2E">
      <w:pPr>
        <w:pStyle w:val="Lbjegyzetszveg"/>
      </w:pPr>
      <w:r>
        <w:rPr>
          <w:rStyle w:val="Lbjegyzet-hivatkozs"/>
          <w:b/>
        </w:rPr>
        <w:footnoteRef/>
      </w:r>
      <w:r>
        <w:t xml:space="preserve"> e.g. case discussions, role play, thematic presentations, etc.</w:t>
      </w:r>
    </w:p>
  </w:footnote>
  <w:footnote w:id="3">
    <w:p w14:paraId="4F3FF658" w14:textId="77777777" w:rsidR="006B6B2E" w:rsidRPr="00DF1E33" w:rsidRDefault="006B6B2E"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EE0"/>
    <w:multiLevelType w:val="multilevel"/>
    <w:tmpl w:val="6C2A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873E6"/>
    <w:multiLevelType w:val="multilevel"/>
    <w:tmpl w:val="35B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E"/>
    <w:rsid w:val="000A374A"/>
    <w:rsid w:val="00156CC1"/>
    <w:rsid w:val="00190518"/>
    <w:rsid w:val="001B7B2B"/>
    <w:rsid w:val="002D0032"/>
    <w:rsid w:val="004D13CF"/>
    <w:rsid w:val="006B6B2E"/>
    <w:rsid w:val="007D06CF"/>
    <w:rsid w:val="00804836"/>
    <w:rsid w:val="00FA000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5ECD6"/>
  <w15:docId w15:val="{FB7F2DED-BEA2-431A-9365-B6019F5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2271</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bbkati</cp:lastModifiedBy>
  <cp:revision>5</cp:revision>
  <dcterms:created xsi:type="dcterms:W3CDTF">2017-01-16T07:45:00Z</dcterms:created>
  <dcterms:modified xsi:type="dcterms:W3CDTF">2018-08-31T21:59:00Z</dcterms:modified>
</cp:coreProperties>
</file>