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E32F" w14:textId="77777777" w:rsidR="00027A0C" w:rsidRPr="001B4821" w:rsidRDefault="00027A0C" w:rsidP="00027A0C">
      <w:pPr>
        <w:rPr>
          <w:color w:val="333399"/>
          <w:sz w:val="12"/>
          <w:szCs w:val="12"/>
        </w:rPr>
      </w:pPr>
    </w:p>
    <w:p w14:paraId="6FF8492E" w14:textId="77777777" w:rsidR="00B2620E" w:rsidRPr="001B4821" w:rsidRDefault="00B2620E" w:rsidP="00B2620E">
      <w:pPr>
        <w:rPr>
          <w:color w:val="333399"/>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B2620E" w:rsidRPr="00BE16DC" w14:paraId="0F2D847B" w14:textId="77777777" w:rsidTr="00D72191">
        <w:tc>
          <w:tcPr>
            <w:tcW w:w="7088" w:type="dxa"/>
            <w:tcBorders>
              <w:top w:val="single" w:sz="4" w:space="0" w:color="auto"/>
              <w:left w:val="single" w:sz="4" w:space="0" w:color="auto"/>
            </w:tcBorders>
            <w:shd w:val="clear" w:color="auto" w:fill="auto"/>
            <w:tcMar>
              <w:top w:w="57" w:type="dxa"/>
              <w:bottom w:w="57" w:type="dxa"/>
            </w:tcMar>
          </w:tcPr>
          <w:p w14:paraId="231C5203" w14:textId="77777777" w:rsidR="00B2620E" w:rsidRPr="0000385F" w:rsidRDefault="00B2620E" w:rsidP="00D72191">
            <w:pPr>
              <w:jc w:val="both"/>
              <w:rPr>
                <w:b/>
                <w:i/>
                <w:sz w:val="22"/>
                <w:szCs w:val="22"/>
              </w:rPr>
            </w:pPr>
            <w:r w:rsidRPr="0000385F">
              <w:rPr>
                <w:b/>
                <w:sz w:val="22"/>
                <w:szCs w:val="22"/>
              </w:rPr>
              <w:t xml:space="preserve">(1.) Tantárgy </w:t>
            </w:r>
            <w:r w:rsidRPr="0000385F">
              <w:rPr>
                <w:sz w:val="22"/>
                <w:szCs w:val="22"/>
              </w:rPr>
              <w:t>neve:</w:t>
            </w:r>
            <w:r w:rsidRPr="0000385F">
              <w:rPr>
                <w:b/>
                <w:sz w:val="22"/>
                <w:szCs w:val="22"/>
              </w:rPr>
              <w:t xml:space="preserve"> </w:t>
            </w:r>
            <w:r w:rsidR="00027A0C">
              <w:rPr>
                <w:b/>
                <w:sz w:val="22"/>
                <w:szCs w:val="22"/>
                <w:highlight w:val="yellow"/>
              </w:rPr>
              <w:t>Az amerikai irodalom tematikai megközelítése</w:t>
            </w:r>
          </w:p>
        </w:tc>
        <w:tc>
          <w:tcPr>
            <w:tcW w:w="2268" w:type="dxa"/>
            <w:tcBorders>
              <w:top w:val="single" w:sz="4" w:space="0" w:color="auto"/>
              <w:right w:val="single" w:sz="4" w:space="0" w:color="auto"/>
            </w:tcBorders>
            <w:shd w:val="clear" w:color="auto" w:fill="auto"/>
            <w:tcMar>
              <w:top w:w="57" w:type="dxa"/>
              <w:bottom w:w="57" w:type="dxa"/>
            </w:tcMar>
          </w:tcPr>
          <w:p w14:paraId="108310F0" w14:textId="77777777" w:rsidR="00B2620E" w:rsidRPr="0000385F" w:rsidRDefault="00B2620E" w:rsidP="00D72191">
            <w:pPr>
              <w:spacing w:before="60"/>
              <w:jc w:val="both"/>
              <w:rPr>
                <w:b/>
                <w:sz w:val="22"/>
                <w:szCs w:val="22"/>
              </w:rPr>
            </w:pPr>
            <w:r w:rsidRPr="0000385F">
              <w:rPr>
                <w:b/>
                <w:sz w:val="22"/>
                <w:szCs w:val="22"/>
              </w:rPr>
              <w:t xml:space="preserve">Kreditértéke: </w:t>
            </w:r>
            <w:r w:rsidR="00027A0C">
              <w:rPr>
                <w:b/>
                <w:sz w:val="22"/>
                <w:szCs w:val="22"/>
                <w:highlight w:val="yellow"/>
              </w:rPr>
              <w:t>4</w:t>
            </w:r>
          </w:p>
        </w:tc>
      </w:tr>
      <w:tr w:rsidR="00B2620E" w:rsidRPr="00BE16DC" w14:paraId="18F78E08" w14:textId="77777777" w:rsidTr="00D72191">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0402C7C" w14:textId="77777777" w:rsidR="00B2620E" w:rsidRPr="00BE16DC" w:rsidRDefault="00B2620E" w:rsidP="00027A0C">
            <w:pPr>
              <w:spacing w:before="60"/>
              <w:jc w:val="both"/>
              <w:rPr>
                <w:sz w:val="22"/>
                <w:szCs w:val="22"/>
              </w:rPr>
            </w:pPr>
            <w:r w:rsidRPr="0000385F">
              <w:rPr>
                <w:sz w:val="22"/>
                <w:szCs w:val="22"/>
              </w:rPr>
              <w:t xml:space="preserve">A tantárgy </w:t>
            </w:r>
            <w:r w:rsidRPr="0000385F">
              <w:rPr>
                <w:b/>
                <w:sz w:val="22"/>
                <w:szCs w:val="22"/>
              </w:rPr>
              <w:t>besorolása</w:t>
            </w:r>
            <w:r w:rsidRPr="0000385F">
              <w:rPr>
                <w:sz w:val="22"/>
                <w:szCs w:val="22"/>
              </w:rPr>
              <w:t xml:space="preserve">: </w:t>
            </w:r>
            <w:r w:rsidRPr="002F6EB0">
              <w:rPr>
                <w:b/>
                <w:sz w:val="22"/>
                <w:szCs w:val="22"/>
                <w:highlight w:val="yellow"/>
                <w:u w:val="single"/>
              </w:rPr>
              <w:t>választható</w:t>
            </w:r>
            <w:r w:rsidRPr="002F6EB0">
              <w:rPr>
                <w:color w:val="333399"/>
                <w:sz w:val="22"/>
                <w:szCs w:val="22"/>
                <w:u w:val="single"/>
              </w:rPr>
              <w:t xml:space="preserve"> </w:t>
            </w:r>
          </w:p>
        </w:tc>
      </w:tr>
      <w:tr w:rsidR="00B2620E" w:rsidRPr="00E73D28" w14:paraId="4F5E0ED3" w14:textId="77777777" w:rsidTr="00D72191">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107B7B" w14:textId="77777777" w:rsidR="00B2620E" w:rsidRPr="0000385F" w:rsidRDefault="00B2620E" w:rsidP="00027A0C">
            <w:pPr>
              <w:spacing w:before="40" w:after="40"/>
              <w:jc w:val="both"/>
              <w:rPr>
                <w:sz w:val="22"/>
                <w:szCs w:val="22"/>
              </w:rPr>
            </w:pPr>
            <w:r w:rsidRPr="0000385F">
              <w:rPr>
                <w:b/>
                <w:sz w:val="22"/>
                <w:szCs w:val="22"/>
              </w:rPr>
              <w:t xml:space="preserve">A </w:t>
            </w:r>
            <w:r w:rsidRPr="00B81583">
              <w:rPr>
                <w:b/>
                <w:sz w:val="22"/>
                <w:szCs w:val="22"/>
              </w:rPr>
              <w:t>tantárgy elméleti vagy gyakorlati jellegének mértéke, „</w:t>
            </w:r>
            <w:r w:rsidRPr="00B81583">
              <w:rPr>
                <w:b/>
                <w:i/>
                <w:sz w:val="22"/>
                <w:szCs w:val="22"/>
              </w:rPr>
              <w:t>képzési karaktere</w:t>
            </w:r>
            <w:r w:rsidRPr="00B81583">
              <w:rPr>
                <w:b/>
                <w:sz w:val="22"/>
                <w:szCs w:val="22"/>
              </w:rPr>
              <w:t>”</w:t>
            </w:r>
            <w:r w:rsidRPr="00B81583">
              <w:rPr>
                <w:rFonts w:ascii="Times New Roman félkövér" w:hAnsi="Times New Roman félkövér"/>
                <w:b/>
                <w:sz w:val="22"/>
                <w:szCs w:val="22"/>
                <w:vertAlign w:val="superscript"/>
              </w:rPr>
              <w:t>13</w:t>
            </w:r>
            <w:r w:rsidRPr="00B81583">
              <w:rPr>
                <w:sz w:val="22"/>
                <w:szCs w:val="22"/>
              </w:rPr>
              <w:t xml:space="preserve">: </w:t>
            </w:r>
            <w:r w:rsidR="00027A0C">
              <w:rPr>
                <w:b/>
                <w:sz w:val="22"/>
                <w:szCs w:val="22"/>
                <w:highlight w:val="yellow"/>
              </w:rPr>
              <w:t>gyakorlati 100%</w:t>
            </w:r>
            <w:r w:rsidRPr="00B81583">
              <w:rPr>
                <w:b/>
                <w:sz w:val="22"/>
                <w:szCs w:val="22"/>
              </w:rPr>
              <w:t xml:space="preserve"> </w:t>
            </w:r>
            <w:r w:rsidRPr="00B81583">
              <w:rPr>
                <w:sz w:val="22"/>
                <w:szCs w:val="22"/>
              </w:rPr>
              <w:t>(kredit%)</w:t>
            </w:r>
          </w:p>
        </w:tc>
      </w:tr>
      <w:tr w:rsidR="00B2620E" w:rsidRPr="00BE16DC" w14:paraId="12609143" w14:textId="77777777" w:rsidTr="00D72191">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666B9947" w14:textId="77777777" w:rsidR="00B2620E" w:rsidRPr="0000385F" w:rsidRDefault="00B2620E" w:rsidP="00D72191">
            <w:pPr>
              <w:spacing w:before="60"/>
              <w:jc w:val="both"/>
              <w:rPr>
                <w:sz w:val="22"/>
                <w:szCs w:val="22"/>
              </w:rPr>
            </w:pPr>
            <w:r w:rsidRPr="00BE16DC">
              <w:rPr>
                <w:sz w:val="22"/>
                <w:szCs w:val="22"/>
              </w:rPr>
              <w:t xml:space="preserve">A </w:t>
            </w:r>
            <w:r w:rsidRPr="00C2259B">
              <w:rPr>
                <w:b/>
                <w:sz w:val="22"/>
                <w:szCs w:val="22"/>
              </w:rPr>
              <w:t>tanóra</w:t>
            </w:r>
            <w:r w:rsidRPr="00081F7D">
              <w:rPr>
                <w:rStyle w:val="Lbjegyzet-hivatkozs"/>
                <w:b/>
                <w:sz w:val="22"/>
                <w:szCs w:val="22"/>
              </w:rPr>
              <w:footnoteReference w:id="1"/>
            </w:r>
            <w:r w:rsidRPr="00C2259B">
              <w:rPr>
                <w:b/>
                <w:sz w:val="22"/>
                <w:szCs w:val="22"/>
              </w:rPr>
              <w:t xml:space="preserve"> típusa</w:t>
            </w:r>
            <w:r w:rsidRPr="00BE16DC">
              <w:rPr>
                <w:sz w:val="22"/>
                <w:szCs w:val="22"/>
              </w:rPr>
              <w:t xml:space="preserve">: </w:t>
            </w:r>
            <w:r w:rsidRPr="00BE16DC">
              <w:rPr>
                <w:sz w:val="22"/>
                <w:szCs w:val="22"/>
                <w:highlight w:val="yellow"/>
              </w:rPr>
              <w:t xml:space="preserve">szem. </w:t>
            </w:r>
            <w:r w:rsidRPr="0000385F">
              <w:rPr>
                <w:sz w:val="22"/>
                <w:szCs w:val="22"/>
              </w:rPr>
              <w:t xml:space="preserve">és </w:t>
            </w:r>
            <w:r w:rsidRPr="0000385F">
              <w:rPr>
                <w:b/>
                <w:sz w:val="22"/>
                <w:szCs w:val="22"/>
              </w:rPr>
              <w:t>óraszáma</w:t>
            </w:r>
            <w:r w:rsidRPr="0000385F">
              <w:rPr>
                <w:sz w:val="22"/>
                <w:szCs w:val="22"/>
              </w:rPr>
              <w:t xml:space="preserve">: </w:t>
            </w:r>
            <w:r w:rsidR="00027A0C">
              <w:rPr>
                <w:b/>
                <w:sz w:val="22"/>
                <w:szCs w:val="22"/>
                <w:highlight w:val="yellow"/>
              </w:rPr>
              <w:t>26</w:t>
            </w:r>
            <w:r w:rsidRPr="0000385F">
              <w:rPr>
                <w:b/>
                <w:sz w:val="22"/>
                <w:szCs w:val="22"/>
              </w:rPr>
              <w:t xml:space="preserve"> </w:t>
            </w:r>
            <w:r w:rsidRPr="0000385F">
              <w:rPr>
                <w:sz w:val="22"/>
                <w:szCs w:val="22"/>
              </w:rPr>
              <w:t xml:space="preserve">az adott </w:t>
            </w:r>
            <w:r w:rsidRPr="0000385F">
              <w:rPr>
                <w:b/>
                <w:sz w:val="22"/>
                <w:szCs w:val="22"/>
              </w:rPr>
              <w:t>félévben</w:t>
            </w:r>
            <w:r w:rsidRPr="0000385F">
              <w:rPr>
                <w:sz w:val="22"/>
                <w:szCs w:val="22"/>
              </w:rPr>
              <w:t>,</w:t>
            </w:r>
          </w:p>
          <w:p w14:paraId="48E436D2" w14:textId="77777777" w:rsidR="00B2620E" w:rsidRPr="0000385F" w:rsidRDefault="00B2620E" w:rsidP="00D72191">
            <w:pPr>
              <w:spacing w:before="60"/>
              <w:jc w:val="both"/>
              <w:rPr>
                <w:sz w:val="22"/>
                <w:szCs w:val="22"/>
              </w:rPr>
            </w:pPr>
            <w:r w:rsidRPr="0000385F">
              <w:rPr>
                <w:sz w:val="22"/>
                <w:szCs w:val="22"/>
              </w:rPr>
              <w:t>(</w:t>
            </w:r>
            <w:r w:rsidRPr="0000385F">
              <w:rPr>
                <w:i/>
                <w:sz w:val="22"/>
                <w:szCs w:val="22"/>
              </w:rPr>
              <w:t xml:space="preserve">ha nem (csak) magyarul oktatják a tárgyat, akkor a </w:t>
            </w:r>
            <w:r w:rsidRPr="0000385F">
              <w:rPr>
                <w:b/>
                <w:sz w:val="22"/>
                <w:szCs w:val="22"/>
              </w:rPr>
              <w:t>nyelve</w:t>
            </w:r>
            <w:r w:rsidRPr="0000385F">
              <w:rPr>
                <w:sz w:val="22"/>
                <w:szCs w:val="22"/>
              </w:rPr>
              <w:t>:</w:t>
            </w:r>
            <w:r w:rsidRPr="0000385F">
              <w:rPr>
                <w:i/>
                <w:sz w:val="22"/>
                <w:szCs w:val="22"/>
              </w:rPr>
              <w:t xml:space="preserve"> </w:t>
            </w:r>
            <w:r w:rsidR="00075144" w:rsidRPr="00876909">
              <w:rPr>
                <w:b/>
                <w:sz w:val="22"/>
                <w:szCs w:val="22"/>
                <w:highlight w:val="yellow"/>
              </w:rPr>
              <w:t>angol</w:t>
            </w:r>
            <w:r w:rsidRPr="0000385F">
              <w:rPr>
                <w:i/>
                <w:sz w:val="22"/>
                <w:szCs w:val="22"/>
              </w:rPr>
              <w:t>)</w:t>
            </w:r>
          </w:p>
          <w:p w14:paraId="7618040E" w14:textId="77777777" w:rsidR="00B2620E" w:rsidRPr="0000385F" w:rsidRDefault="00B2620E" w:rsidP="00D72191">
            <w:pPr>
              <w:spacing w:before="60"/>
              <w:jc w:val="both"/>
              <w:rPr>
                <w:sz w:val="22"/>
                <w:szCs w:val="22"/>
              </w:rPr>
            </w:pPr>
            <w:r w:rsidRPr="0000385F">
              <w:rPr>
                <w:sz w:val="22"/>
                <w:szCs w:val="22"/>
              </w:rPr>
              <w:t>Az adott ismeret átadásában alkalmaz</w:t>
            </w:r>
            <w:r>
              <w:rPr>
                <w:sz w:val="22"/>
                <w:szCs w:val="22"/>
              </w:rPr>
              <w:t>andó</w:t>
            </w:r>
            <w:r w:rsidRPr="0000385F">
              <w:rPr>
                <w:sz w:val="22"/>
                <w:szCs w:val="22"/>
              </w:rPr>
              <w:t xml:space="preserve"> </w:t>
            </w:r>
            <w:r w:rsidRPr="0000385F">
              <w:rPr>
                <w:b/>
                <w:sz w:val="22"/>
                <w:szCs w:val="22"/>
              </w:rPr>
              <w:t>további</w:t>
            </w:r>
            <w:r w:rsidRPr="0000385F">
              <w:rPr>
                <w:sz w:val="22"/>
                <w:szCs w:val="22"/>
              </w:rPr>
              <w:t xml:space="preserve"> (</w:t>
            </w:r>
            <w:r w:rsidRPr="0035754C">
              <w:rPr>
                <w:i/>
                <w:sz w:val="21"/>
                <w:szCs w:val="21"/>
              </w:rPr>
              <w:t>sajátos</w:t>
            </w:r>
            <w:r w:rsidRPr="0000385F">
              <w:rPr>
                <w:sz w:val="22"/>
                <w:szCs w:val="22"/>
              </w:rPr>
              <w:t xml:space="preserve">) </w:t>
            </w:r>
            <w:r w:rsidRPr="0000385F">
              <w:rPr>
                <w:b/>
                <w:sz w:val="22"/>
                <w:szCs w:val="22"/>
              </w:rPr>
              <w:t>módok, jellemzők</w:t>
            </w:r>
            <w:r w:rsidRPr="0000385F">
              <w:rPr>
                <w:rStyle w:val="Lbjegyzet-hivatkozs"/>
                <w:b/>
                <w:sz w:val="22"/>
                <w:szCs w:val="22"/>
              </w:rPr>
              <w:footnoteReference w:id="2"/>
            </w:r>
            <w:r>
              <w:rPr>
                <w:color w:val="333399"/>
                <w:sz w:val="22"/>
                <w:szCs w:val="22"/>
              </w:rPr>
              <w:t xml:space="preserve"> </w:t>
            </w:r>
            <w:r w:rsidRPr="00A00807">
              <w:rPr>
                <w:i/>
                <w:color w:val="333399"/>
                <w:sz w:val="21"/>
                <w:szCs w:val="21"/>
              </w:rPr>
              <w:t>(ha vannak)</w:t>
            </w:r>
            <w:r>
              <w:rPr>
                <w:color w:val="333399"/>
                <w:sz w:val="22"/>
                <w:szCs w:val="22"/>
              </w:rPr>
              <w:t>:</w:t>
            </w:r>
            <w:r w:rsidRPr="00C2259B">
              <w:rPr>
                <w:color w:val="333399"/>
                <w:sz w:val="22"/>
                <w:szCs w:val="22"/>
              </w:rPr>
              <w:t xml:space="preserve"> </w:t>
            </w:r>
            <w:r w:rsidRPr="0000385F">
              <w:rPr>
                <w:sz w:val="22"/>
                <w:szCs w:val="22"/>
                <w:highlight w:val="yellow"/>
              </w:rPr>
              <w:t>………………………..</w:t>
            </w:r>
          </w:p>
        </w:tc>
      </w:tr>
      <w:tr w:rsidR="00B2620E" w:rsidRPr="00BE16DC" w14:paraId="3B3C68CB" w14:textId="77777777" w:rsidTr="00D72191">
        <w:tc>
          <w:tcPr>
            <w:tcW w:w="9356" w:type="dxa"/>
            <w:gridSpan w:val="2"/>
            <w:tcBorders>
              <w:left w:val="single" w:sz="4" w:space="0" w:color="auto"/>
              <w:right w:val="single" w:sz="4" w:space="0" w:color="auto"/>
            </w:tcBorders>
            <w:shd w:val="clear" w:color="auto" w:fill="auto"/>
            <w:tcMar>
              <w:top w:w="57" w:type="dxa"/>
              <w:bottom w:w="57" w:type="dxa"/>
            </w:tcMar>
          </w:tcPr>
          <w:p w14:paraId="1DB17AB4" w14:textId="77777777" w:rsidR="00B2620E" w:rsidRPr="0000385F" w:rsidRDefault="00B2620E" w:rsidP="00D72191">
            <w:pPr>
              <w:spacing w:before="60"/>
              <w:jc w:val="both"/>
              <w:rPr>
                <w:b/>
                <w:sz w:val="22"/>
                <w:szCs w:val="22"/>
              </w:rPr>
            </w:pPr>
            <w:r w:rsidRPr="00BE16DC">
              <w:rPr>
                <w:sz w:val="22"/>
                <w:szCs w:val="22"/>
              </w:rPr>
              <w:t xml:space="preserve">A </w:t>
            </w:r>
            <w:r w:rsidRPr="0000385F">
              <w:rPr>
                <w:b/>
                <w:sz w:val="22"/>
                <w:szCs w:val="22"/>
              </w:rPr>
              <w:t xml:space="preserve">számonkérés </w:t>
            </w:r>
            <w:r w:rsidRPr="0000385F">
              <w:rPr>
                <w:sz w:val="22"/>
                <w:szCs w:val="22"/>
              </w:rPr>
              <w:t xml:space="preserve">módja (koll. / gyj. / </w:t>
            </w:r>
            <w:r w:rsidRPr="0000385F">
              <w:rPr>
                <w:b/>
                <w:sz w:val="22"/>
                <w:szCs w:val="22"/>
              </w:rPr>
              <w:t>egyéb</w:t>
            </w:r>
            <w:r w:rsidRPr="0000385F">
              <w:rPr>
                <w:rStyle w:val="Lbjegyzet-hivatkozs"/>
                <w:sz w:val="22"/>
                <w:szCs w:val="22"/>
              </w:rPr>
              <w:footnoteReference w:id="3"/>
            </w:r>
            <w:r w:rsidRPr="0000385F">
              <w:rPr>
                <w:sz w:val="22"/>
                <w:szCs w:val="22"/>
              </w:rPr>
              <w:t xml:space="preserve">): </w:t>
            </w:r>
            <w:r w:rsidR="00075144">
              <w:rPr>
                <w:b/>
                <w:sz w:val="22"/>
                <w:szCs w:val="22"/>
                <w:highlight w:val="yellow"/>
              </w:rPr>
              <w:t>gyak. jegy</w:t>
            </w:r>
          </w:p>
          <w:p w14:paraId="3CBD0A2E" w14:textId="77777777" w:rsidR="00B2620E" w:rsidRPr="00C2259B" w:rsidRDefault="00B2620E" w:rsidP="00D72191">
            <w:pPr>
              <w:spacing w:before="60"/>
              <w:jc w:val="both"/>
              <w:rPr>
                <w:b/>
                <w:color w:val="333399"/>
                <w:sz w:val="22"/>
                <w:szCs w:val="22"/>
              </w:rPr>
            </w:pPr>
            <w:r w:rsidRPr="0000385F">
              <w:rPr>
                <w:sz w:val="22"/>
                <w:szCs w:val="22"/>
              </w:rPr>
              <w:t>Az ismeretellenőrzésben alkalmaz</w:t>
            </w:r>
            <w:r>
              <w:rPr>
                <w:sz w:val="22"/>
                <w:szCs w:val="22"/>
              </w:rPr>
              <w:t xml:space="preserve">andó </w:t>
            </w:r>
            <w:r w:rsidRPr="0000385F">
              <w:rPr>
                <w:b/>
                <w:sz w:val="22"/>
                <w:szCs w:val="22"/>
              </w:rPr>
              <w:t xml:space="preserve">további </w:t>
            </w:r>
            <w:r w:rsidRPr="0000385F">
              <w:rPr>
                <w:sz w:val="22"/>
                <w:szCs w:val="22"/>
              </w:rPr>
              <w:t>(</w:t>
            </w:r>
            <w:r w:rsidRPr="0035754C">
              <w:rPr>
                <w:i/>
                <w:sz w:val="21"/>
                <w:szCs w:val="21"/>
              </w:rPr>
              <w:t>sajátos</w:t>
            </w:r>
            <w:r w:rsidRPr="0000385F">
              <w:rPr>
                <w:sz w:val="22"/>
                <w:szCs w:val="22"/>
              </w:rPr>
              <w:t xml:space="preserve">) </w:t>
            </w:r>
            <w:r w:rsidRPr="0000385F">
              <w:rPr>
                <w:b/>
                <w:sz w:val="22"/>
                <w:szCs w:val="22"/>
              </w:rPr>
              <w:t>módok</w:t>
            </w:r>
            <w:r w:rsidRPr="0000385F">
              <w:rPr>
                <w:rStyle w:val="Lbjegyzet-hivatkozs"/>
                <w:b/>
                <w:sz w:val="22"/>
                <w:szCs w:val="22"/>
              </w:rPr>
              <w:footnoteReference w:id="4"/>
            </w:r>
            <w:r>
              <w:rPr>
                <w:b/>
                <w:color w:val="333399"/>
                <w:sz w:val="22"/>
                <w:szCs w:val="22"/>
              </w:rPr>
              <w:t xml:space="preserve"> </w:t>
            </w:r>
            <w:r w:rsidRPr="00A00807">
              <w:rPr>
                <w:i/>
                <w:color w:val="333399"/>
                <w:sz w:val="21"/>
                <w:szCs w:val="21"/>
              </w:rPr>
              <w:t>(ha vannak)</w:t>
            </w:r>
            <w:r>
              <w:rPr>
                <w:b/>
                <w:color w:val="333399"/>
                <w:sz w:val="22"/>
                <w:szCs w:val="22"/>
              </w:rPr>
              <w:t xml:space="preserve">: </w:t>
            </w:r>
            <w:r>
              <w:rPr>
                <w:color w:val="333399"/>
                <w:sz w:val="22"/>
                <w:szCs w:val="22"/>
                <w:highlight w:val="yellow"/>
              </w:rPr>
              <w:t>……………………</w:t>
            </w:r>
            <w:r w:rsidRPr="00C2259B">
              <w:rPr>
                <w:color w:val="333399"/>
                <w:sz w:val="22"/>
                <w:szCs w:val="22"/>
                <w:highlight w:val="yellow"/>
              </w:rPr>
              <w:t>..</w:t>
            </w:r>
          </w:p>
        </w:tc>
      </w:tr>
      <w:tr w:rsidR="00B2620E" w:rsidRPr="00BE16DC" w14:paraId="17F8F48E" w14:textId="77777777" w:rsidTr="00D72191">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178D04AC" w14:textId="77777777" w:rsidR="00B2620E" w:rsidRPr="00BE16DC" w:rsidRDefault="00B2620E" w:rsidP="00D72191">
            <w:pPr>
              <w:jc w:val="both"/>
              <w:rPr>
                <w:sz w:val="22"/>
                <w:szCs w:val="22"/>
              </w:rPr>
            </w:pPr>
            <w:r w:rsidRPr="00BE16DC">
              <w:rPr>
                <w:sz w:val="22"/>
                <w:szCs w:val="22"/>
              </w:rPr>
              <w:t xml:space="preserve">A tantárgy </w:t>
            </w:r>
            <w:r w:rsidRPr="00C2259B">
              <w:rPr>
                <w:b/>
                <w:sz w:val="22"/>
                <w:szCs w:val="22"/>
              </w:rPr>
              <w:t>tantervi helye</w:t>
            </w:r>
            <w:r w:rsidRPr="00BE16DC">
              <w:rPr>
                <w:sz w:val="22"/>
                <w:szCs w:val="22"/>
              </w:rPr>
              <w:t xml:space="preserve"> (hányadik félév): </w:t>
            </w:r>
            <w:r w:rsidR="00027A0C">
              <w:rPr>
                <w:b/>
                <w:sz w:val="22"/>
                <w:szCs w:val="22"/>
                <w:highlight w:val="yellow"/>
              </w:rPr>
              <w:t>3.</w:t>
            </w:r>
          </w:p>
        </w:tc>
      </w:tr>
      <w:tr w:rsidR="00B2620E" w:rsidRPr="00BE16DC" w14:paraId="30B46767" w14:textId="77777777" w:rsidTr="00D72191">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4CABCA9" w14:textId="77777777" w:rsidR="00B2620E" w:rsidRPr="00BE16DC" w:rsidRDefault="00B2620E" w:rsidP="00027A0C">
            <w:pPr>
              <w:jc w:val="both"/>
              <w:rPr>
                <w:sz w:val="22"/>
                <w:szCs w:val="22"/>
              </w:rPr>
            </w:pPr>
            <w:r w:rsidRPr="00BE16DC">
              <w:rPr>
                <w:sz w:val="22"/>
                <w:szCs w:val="22"/>
              </w:rPr>
              <w:t xml:space="preserve">Előtanulmányi feltételek </w:t>
            </w:r>
            <w:r w:rsidRPr="00BE16DC">
              <w:rPr>
                <w:i/>
                <w:sz w:val="22"/>
                <w:szCs w:val="22"/>
              </w:rPr>
              <w:t>(ha vannak)</w:t>
            </w:r>
            <w:r w:rsidRPr="00BE16DC">
              <w:rPr>
                <w:sz w:val="22"/>
                <w:szCs w:val="22"/>
              </w:rPr>
              <w:t>:</w:t>
            </w:r>
            <w:r w:rsidRPr="00BE16DC">
              <w:rPr>
                <w:i/>
                <w:sz w:val="22"/>
                <w:szCs w:val="22"/>
              </w:rPr>
              <w:t xml:space="preserve"> </w:t>
            </w:r>
            <w:r w:rsidR="00027A0C">
              <w:rPr>
                <w:b/>
                <w:sz w:val="22"/>
                <w:szCs w:val="22"/>
                <w:highlight w:val="yellow"/>
              </w:rPr>
              <w:t>BBNAN00900</w:t>
            </w:r>
          </w:p>
        </w:tc>
      </w:tr>
    </w:tbl>
    <w:p w14:paraId="13EFA340" w14:textId="77777777" w:rsidR="00B2620E" w:rsidRPr="00C2259B" w:rsidRDefault="00B2620E" w:rsidP="00B2620E">
      <w:pPr>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F0546" w:rsidRPr="00BE16DC" w14:paraId="73EBE983" w14:textId="77777777" w:rsidTr="00BF0546">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6B569701" w14:textId="77777777" w:rsidR="00BF0546" w:rsidRPr="00027A0C" w:rsidRDefault="006E0DFC" w:rsidP="00027A0C">
            <w:pPr>
              <w:pStyle w:val="NormlWeb"/>
              <w:shd w:val="clear" w:color="auto" w:fill="FFFFFF"/>
              <w:spacing w:before="0" w:beforeAutospacing="0" w:after="0" w:afterAutospacing="0"/>
              <w:ind w:firstLine="709"/>
              <w:rPr>
                <w:sz w:val="22"/>
                <w:szCs w:val="22"/>
              </w:rPr>
            </w:pPr>
            <w:r w:rsidRPr="00027A0C">
              <w:rPr>
                <w:lang w:eastAsia="hu-HU"/>
              </w:rPr>
              <w:t>A</w:t>
            </w:r>
            <w:r w:rsidR="00027A0C">
              <w:rPr>
                <w:lang w:eastAsia="hu-HU"/>
              </w:rPr>
              <w:t>z amerikanisztikai</w:t>
            </w:r>
            <w:r w:rsidR="001D43EB" w:rsidRPr="00027A0C">
              <w:rPr>
                <w:lang w:eastAsia="hu-HU"/>
              </w:rPr>
              <w:t xml:space="preserve"> </w:t>
            </w:r>
            <w:r w:rsidR="00027A0C">
              <w:rPr>
                <w:lang w:eastAsia="hu-HU"/>
              </w:rPr>
              <w:t xml:space="preserve">fakultatív modul </w:t>
            </w:r>
            <w:r w:rsidR="00876909" w:rsidRPr="00027A0C">
              <w:rPr>
                <w:lang w:eastAsia="hu-HU"/>
              </w:rPr>
              <w:t>tantárgy</w:t>
            </w:r>
            <w:r w:rsidR="00027A0C">
              <w:rPr>
                <w:lang w:eastAsia="hu-HU"/>
              </w:rPr>
              <w:t>a</w:t>
            </w:r>
            <w:r w:rsidR="00876909" w:rsidRPr="00027A0C">
              <w:rPr>
                <w:lang w:eastAsia="hu-HU"/>
              </w:rPr>
              <w:t xml:space="preserve"> ráépül,</w:t>
            </w:r>
            <w:r w:rsidR="001D43EB" w:rsidRPr="00027A0C">
              <w:rPr>
                <w:lang w:eastAsia="hu-HU"/>
              </w:rPr>
              <w:t xml:space="preserve"> kiegészíti az amerikai irodalmi  alapképzést és tematikailag közelíti meg a 19-20. sz.</w:t>
            </w:r>
            <w:r w:rsidR="001D43EB" w:rsidRPr="00027A0C">
              <w:rPr>
                <w:lang w:val="hu-HU" w:eastAsia="hu-HU"/>
              </w:rPr>
              <w:t>-i</w:t>
            </w:r>
            <w:r w:rsidR="001D43EB" w:rsidRPr="00027A0C">
              <w:rPr>
                <w:lang w:eastAsia="hu-HU"/>
              </w:rPr>
              <w:t xml:space="preserve"> amerikai irodalom klasszikus műveit. Az órai elemzések tárgyát képező művek széleskörű társadalmi, politikai és kulturális kérdésekkel foglalkoznak</w:t>
            </w:r>
            <w:r w:rsidR="00DF315D" w:rsidRPr="00027A0C">
              <w:rPr>
                <w:lang w:eastAsia="hu-HU"/>
              </w:rPr>
              <w:t>.</w:t>
            </w:r>
            <w:r w:rsidR="001D43EB" w:rsidRPr="00027A0C">
              <w:rPr>
                <w:lang w:eastAsia="hu-HU"/>
              </w:rPr>
              <w:t xml:space="preserve"> </w:t>
            </w:r>
            <w:r w:rsidR="00DF315D" w:rsidRPr="00027A0C">
              <w:rPr>
                <w:lang w:eastAsia="hu-HU"/>
              </w:rPr>
              <w:t>A fontosabb témakörök: élet a határvidéken, regonalizmus, urbanizáci</w:t>
            </w:r>
            <w:r w:rsidRPr="00027A0C">
              <w:rPr>
                <w:lang w:eastAsia="hu-HU"/>
              </w:rPr>
              <w:t>ó, bevándorlás, elidegenedés, mű</w:t>
            </w:r>
            <w:r w:rsidR="00DF315D" w:rsidRPr="00027A0C">
              <w:rPr>
                <w:lang w:eastAsia="hu-HU"/>
              </w:rPr>
              <w:t>vészet, faji problémák</w:t>
            </w:r>
            <w:r w:rsidRPr="00027A0C">
              <w:rPr>
                <w:lang w:eastAsia="hu-HU"/>
              </w:rPr>
              <w:t xml:space="preserve">, háború, politika, az újvilági Édenkert mítosza, technológia és az amerikai álom. </w:t>
            </w:r>
            <w:r w:rsidRPr="00027A0C">
              <w:t xml:space="preserve">Az elemzésre kiválasztott művek a következő szerzőktől származnak: </w:t>
            </w:r>
            <w:r w:rsidR="00BF0546" w:rsidRPr="00027A0C">
              <w:t>Nathaniel Hawthorne, Henry James, Edith Wharton, F. Scott Fitzgerald, Ernest Hemingway, Willa Cather, Eudora Welty, Flannery O’Connor, J. D. Salinger, Vladimir Nabokov, Raymond Carver, Tim O’Brian, Thomas Pynchon and Jonathan Franzen.</w:t>
            </w:r>
          </w:p>
        </w:tc>
      </w:tr>
      <w:tr w:rsidR="00BF0546" w:rsidRPr="00BE16DC" w14:paraId="5133CDA2" w14:textId="77777777" w:rsidTr="00BF0546">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3C6A3303" w14:textId="77777777" w:rsidR="00BF0546" w:rsidRPr="00C74FD2" w:rsidRDefault="00BF0546" w:rsidP="00BF0546">
            <w:pPr>
              <w:ind w:right="-108"/>
              <w:rPr>
                <w:b/>
                <w:color w:val="2F5496"/>
                <w:sz w:val="22"/>
                <w:szCs w:val="22"/>
              </w:rPr>
            </w:pPr>
            <w:r w:rsidRPr="00BE16DC">
              <w:rPr>
                <w:sz w:val="22"/>
                <w:szCs w:val="22"/>
              </w:rPr>
              <w:t xml:space="preserve">A </w:t>
            </w:r>
            <w:r>
              <w:rPr>
                <w:b/>
                <w:sz w:val="22"/>
                <w:szCs w:val="22"/>
              </w:rPr>
              <w:t>2–</w:t>
            </w:r>
            <w:r w:rsidRPr="00BE16DC">
              <w:rPr>
                <w:b/>
                <w:sz w:val="22"/>
                <w:szCs w:val="22"/>
              </w:rPr>
              <w:t>5</w:t>
            </w:r>
            <w:r w:rsidRPr="00BE16DC">
              <w:rPr>
                <w:sz w:val="22"/>
                <w:szCs w:val="22"/>
              </w:rPr>
              <w:t xml:space="preserve"> legfontosabb </w:t>
            </w:r>
            <w:r w:rsidRPr="00BE16DC">
              <w:rPr>
                <w:i/>
                <w:sz w:val="22"/>
                <w:szCs w:val="22"/>
              </w:rPr>
              <w:t>kötelező,</w:t>
            </w:r>
            <w:r w:rsidRPr="00BE16DC">
              <w:rPr>
                <w:sz w:val="22"/>
                <w:szCs w:val="22"/>
              </w:rPr>
              <w:t xml:space="preserve"> illetve </w:t>
            </w:r>
            <w:r w:rsidRPr="00BE16DC">
              <w:rPr>
                <w:i/>
                <w:sz w:val="22"/>
                <w:szCs w:val="22"/>
              </w:rPr>
              <w:t>ajánlott</w:t>
            </w:r>
            <w:r w:rsidRPr="00BE16DC">
              <w:rPr>
                <w:b/>
                <w:i/>
                <w:sz w:val="22"/>
                <w:szCs w:val="22"/>
              </w:rPr>
              <w:t xml:space="preserve"> </w:t>
            </w:r>
            <w:r w:rsidRPr="00BE16DC">
              <w:rPr>
                <w:b/>
                <w:sz w:val="22"/>
                <w:szCs w:val="22"/>
              </w:rPr>
              <w:t xml:space="preserve">irodalom </w:t>
            </w:r>
            <w:r w:rsidRPr="00BE16DC">
              <w:rPr>
                <w:sz w:val="22"/>
                <w:szCs w:val="22"/>
              </w:rPr>
              <w:t>(jegyzet, tankönyv) felsorolása bibliográfiai adatokkal (szerző, cím, kiadás adatai, (esetleg oldalak), ISBN)</w:t>
            </w:r>
          </w:p>
        </w:tc>
      </w:tr>
      <w:tr w:rsidR="00BF0546" w:rsidRPr="00BE16DC" w14:paraId="7789CCCE" w14:textId="77777777" w:rsidTr="00BF0546">
        <w:tc>
          <w:tcPr>
            <w:tcW w:w="9038" w:type="dxa"/>
            <w:tcBorders>
              <w:top w:val="dotted" w:sz="4" w:space="0" w:color="auto"/>
              <w:left w:val="single" w:sz="4" w:space="0" w:color="auto"/>
              <w:bottom w:val="dotted" w:sz="4" w:space="0" w:color="auto"/>
              <w:right w:val="single" w:sz="4" w:space="0" w:color="auto"/>
            </w:tcBorders>
            <w:shd w:val="clear" w:color="auto" w:fill="F1FC8C"/>
            <w:tcMar>
              <w:top w:w="57" w:type="dxa"/>
              <w:bottom w:w="57" w:type="dxa"/>
            </w:tcMar>
            <w:vAlign w:val="center"/>
          </w:tcPr>
          <w:p w14:paraId="4B64ADFF" w14:textId="77777777" w:rsidR="00876909" w:rsidRPr="00027A0C" w:rsidRDefault="00027A0C" w:rsidP="00876909">
            <w:pPr>
              <w:pStyle w:val="Listaszerbekezds"/>
              <w:ind w:left="394"/>
              <w:rPr>
                <w:sz w:val="22"/>
                <w:szCs w:val="22"/>
              </w:rPr>
            </w:pPr>
            <w:r>
              <w:rPr>
                <w:sz w:val="22"/>
                <w:szCs w:val="22"/>
              </w:rPr>
              <w:t>Kötelező irodalom</w:t>
            </w:r>
            <w:r w:rsidR="00876909" w:rsidRPr="00027A0C">
              <w:rPr>
                <w:sz w:val="22"/>
                <w:szCs w:val="22"/>
              </w:rPr>
              <w:t>:</w:t>
            </w:r>
          </w:p>
          <w:p w14:paraId="7073E9EC" w14:textId="77777777" w:rsidR="00876909" w:rsidRPr="00027A0C" w:rsidRDefault="00876909" w:rsidP="00876909">
            <w:pPr>
              <w:pStyle w:val="Listaszerbekezds"/>
              <w:numPr>
                <w:ilvl w:val="0"/>
                <w:numId w:val="3"/>
              </w:numPr>
              <w:rPr>
                <w:sz w:val="22"/>
                <w:szCs w:val="22"/>
              </w:rPr>
            </w:pPr>
            <w:r w:rsidRPr="00027A0C">
              <w:rPr>
                <w:i/>
                <w:sz w:val="22"/>
                <w:szCs w:val="22"/>
              </w:rPr>
              <w:t>Heritage of American Literature</w:t>
            </w:r>
            <w:r w:rsidRPr="00027A0C">
              <w:rPr>
                <w:sz w:val="22"/>
                <w:szCs w:val="22"/>
              </w:rPr>
              <w:t>. Ed. James E. Miller, Jr. Harcourt Brace Jovanovich, 1991.</w:t>
            </w:r>
            <w:r w:rsidRPr="00027A0C">
              <w:rPr>
                <w:bCs/>
                <w:sz w:val="22"/>
                <w:szCs w:val="22"/>
              </w:rPr>
              <w:t xml:space="preserve"> ISBN-13:</w:t>
            </w:r>
            <w:r w:rsidRPr="00027A0C">
              <w:rPr>
                <w:sz w:val="22"/>
                <w:szCs w:val="22"/>
              </w:rPr>
              <w:t xml:space="preserve"> 978-0155357006 </w:t>
            </w:r>
          </w:p>
          <w:p w14:paraId="29E1FE38" w14:textId="77777777" w:rsidR="00876909" w:rsidRPr="00027A0C" w:rsidRDefault="00876909" w:rsidP="00876909">
            <w:pPr>
              <w:pStyle w:val="Listaszerbekezds"/>
              <w:numPr>
                <w:ilvl w:val="0"/>
                <w:numId w:val="3"/>
              </w:numPr>
              <w:rPr>
                <w:sz w:val="22"/>
                <w:szCs w:val="22"/>
              </w:rPr>
            </w:pPr>
            <w:r w:rsidRPr="00027A0C">
              <w:rPr>
                <w:i/>
                <w:sz w:val="22"/>
                <w:szCs w:val="22"/>
              </w:rPr>
              <w:t>The American Dream</w:t>
            </w:r>
            <w:r w:rsidRPr="00027A0C">
              <w:rPr>
                <w:sz w:val="22"/>
                <w:szCs w:val="22"/>
              </w:rPr>
              <w:t>. Ed. Harold Bloom.</w:t>
            </w:r>
            <w:r w:rsidRPr="00027A0C">
              <w:rPr>
                <w:bCs/>
                <w:sz w:val="22"/>
                <w:szCs w:val="22"/>
              </w:rPr>
              <w:t xml:space="preserve"> Infobase Publishers, 2009. ISBN-13:</w:t>
            </w:r>
            <w:r w:rsidRPr="00027A0C">
              <w:rPr>
                <w:sz w:val="22"/>
                <w:szCs w:val="22"/>
              </w:rPr>
              <w:t xml:space="preserve"> 978-0791098011</w:t>
            </w:r>
          </w:p>
          <w:p w14:paraId="5DE26B01" w14:textId="77777777" w:rsidR="00876909" w:rsidRPr="00027A0C" w:rsidRDefault="00876909" w:rsidP="00876909">
            <w:pPr>
              <w:pStyle w:val="Listaszerbekezds"/>
              <w:numPr>
                <w:ilvl w:val="0"/>
                <w:numId w:val="3"/>
              </w:numPr>
              <w:rPr>
                <w:sz w:val="22"/>
                <w:szCs w:val="22"/>
              </w:rPr>
            </w:pPr>
            <w:r w:rsidRPr="00027A0C">
              <w:rPr>
                <w:sz w:val="22"/>
                <w:szCs w:val="22"/>
              </w:rPr>
              <w:t xml:space="preserve">Adamson, Linda G. </w:t>
            </w:r>
            <w:r w:rsidRPr="00027A0C">
              <w:rPr>
                <w:i/>
                <w:sz w:val="22"/>
                <w:szCs w:val="22"/>
              </w:rPr>
              <w:t>Thematic Guide to the American Novel</w:t>
            </w:r>
            <w:r w:rsidRPr="00027A0C">
              <w:rPr>
                <w:sz w:val="22"/>
                <w:szCs w:val="22"/>
              </w:rPr>
              <w:t>. Greenwood, 2002.</w:t>
            </w:r>
          </w:p>
          <w:p w14:paraId="522FFC33" w14:textId="77777777" w:rsidR="00876909" w:rsidRPr="00027A0C" w:rsidRDefault="00876909" w:rsidP="00876909">
            <w:pPr>
              <w:pStyle w:val="Listaszerbekezds"/>
              <w:suppressAutoHyphens/>
              <w:ind w:left="394"/>
              <w:rPr>
                <w:sz w:val="22"/>
                <w:szCs w:val="22"/>
              </w:rPr>
            </w:pPr>
          </w:p>
          <w:p w14:paraId="15EB0D84" w14:textId="77777777" w:rsidR="00876909" w:rsidRPr="00027A0C" w:rsidRDefault="00027A0C" w:rsidP="00876909">
            <w:pPr>
              <w:pStyle w:val="Listaszerbekezds"/>
              <w:suppressAutoHyphens/>
              <w:ind w:left="394"/>
              <w:rPr>
                <w:sz w:val="22"/>
                <w:szCs w:val="22"/>
              </w:rPr>
            </w:pPr>
            <w:r>
              <w:rPr>
                <w:sz w:val="22"/>
                <w:szCs w:val="22"/>
              </w:rPr>
              <w:t>Ajánlott irodalom</w:t>
            </w:r>
            <w:r w:rsidR="00876909" w:rsidRPr="00027A0C">
              <w:rPr>
                <w:sz w:val="22"/>
                <w:szCs w:val="22"/>
              </w:rPr>
              <w:t>:</w:t>
            </w:r>
          </w:p>
          <w:p w14:paraId="75724463" w14:textId="77777777" w:rsidR="00027A0C" w:rsidRDefault="00876909" w:rsidP="00027A0C">
            <w:pPr>
              <w:pStyle w:val="Listaszerbekezds"/>
              <w:numPr>
                <w:ilvl w:val="0"/>
                <w:numId w:val="4"/>
              </w:numPr>
              <w:suppressAutoHyphens/>
              <w:ind w:left="346" w:hanging="346"/>
              <w:rPr>
                <w:sz w:val="22"/>
                <w:szCs w:val="22"/>
              </w:rPr>
            </w:pPr>
            <w:r w:rsidRPr="00027A0C">
              <w:rPr>
                <w:i/>
                <w:sz w:val="22"/>
                <w:szCs w:val="22"/>
              </w:rPr>
              <w:t>The Cambridge Companion to American Modernism</w:t>
            </w:r>
            <w:r w:rsidRPr="00027A0C">
              <w:rPr>
                <w:sz w:val="22"/>
                <w:szCs w:val="22"/>
              </w:rPr>
              <w:t>. Ed. Walter Kalaidijan. Cambridge UP, 2005.</w:t>
            </w:r>
            <w:r w:rsidRPr="00027A0C">
              <w:rPr>
                <w:bCs/>
                <w:sz w:val="22"/>
                <w:szCs w:val="22"/>
              </w:rPr>
              <w:t xml:space="preserve"> ISBN-13:</w:t>
            </w:r>
            <w:r w:rsidRPr="00027A0C">
              <w:rPr>
                <w:sz w:val="22"/>
                <w:szCs w:val="22"/>
              </w:rPr>
              <w:t xml:space="preserve"> 978-0521281256</w:t>
            </w:r>
          </w:p>
          <w:p w14:paraId="3BB67616" w14:textId="77777777" w:rsidR="00876909" w:rsidRPr="00027A0C" w:rsidRDefault="00876909" w:rsidP="00027A0C">
            <w:pPr>
              <w:pStyle w:val="Listaszerbekezds"/>
              <w:numPr>
                <w:ilvl w:val="0"/>
                <w:numId w:val="4"/>
              </w:numPr>
              <w:suppressAutoHyphens/>
              <w:ind w:left="346" w:hanging="346"/>
              <w:rPr>
                <w:sz w:val="22"/>
                <w:szCs w:val="22"/>
              </w:rPr>
            </w:pPr>
            <w:r w:rsidRPr="00027A0C">
              <w:rPr>
                <w:sz w:val="22"/>
                <w:szCs w:val="22"/>
              </w:rPr>
              <w:t xml:space="preserve">Philip Joseph. </w:t>
            </w:r>
            <w:r w:rsidRPr="00027A0C">
              <w:rPr>
                <w:i/>
                <w:sz w:val="22"/>
                <w:szCs w:val="22"/>
              </w:rPr>
              <w:t>American Literary Regionalism in a Global Age</w:t>
            </w:r>
            <w:r w:rsidRPr="00027A0C">
              <w:rPr>
                <w:sz w:val="22"/>
                <w:szCs w:val="22"/>
              </w:rPr>
              <w:t>. Louisiana State UP, 2007.</w:t>
            </w:r>
          </w:p>
          <w:p w14:paraId="61DD0807" w14:textId="77777777" w:rsidR="00BF0546" w:rsidRPr="00027A0C" w:rsidRDefault="00BF0546" w:rsidP="00BF0546">
            <w:pPr>
              <w:ind w:left="34"/>
              <w:rPr>
                <w:sz w:val="22"/>
                <w:szCs w:val="22"/>
              </w:rPr>
            </w:pPr>
          </w:p>
        </w:tc>
      </w:tr>
    </w:tbl>
    <w:p w14:paraId="3E0F3510" w14:textId="77777777" w:rsidR="00B2620E" w:rsidRDefault="00B2620E" w:rsidP="00B2620E">
      <w:pPr>
        <w:tabs>
          <w:tab w:val="num" w:pos="284"/>
        </w:tabs>
        <w:spacing w:after="60"/>
        <w:ind w:left="284" w:hanging="284"/>
        <w:jc w:val="both"/>
        <w:rPr>
          <w:sz w:val="22"/>
          <w:szCs w:val="22"/>
        </w:rPr>
      </w:pPr>
      <w:bookmarkStart w:id="0" w:name="_GoBack"/>
      <w:bookmarkEnd w:id="0"/>
    </w:p>
    <w:sectPr w:rsidR="00B2620E" w:rsidSect="00935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0EA16" w14:textId="77777777" w:rsidR="00FE5F1C" w:rsidRDefault="00FE5F1C" w:rsidP="00B2620E">
      <w:r>
        <w:separator/>
      </w:r>
    </w:p>
  </w:endnote>
  <w:endnote w:type="continuationSeparator" w:id="0">
    <w:p w14:paraId="2497465F" w14:textId="77777777" w:rsidR="00FE5F1C" w:rsidRDefault="00FE5F1C" w:rsidP="00B2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félkövér">
    <w:altName w:val="Helvetica Neue Black Condensed"/>
    <w:panose1 w:val="02020803070505020304"/>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76869" w14:textId="77777777" w:rsidR="00FE5F1C" w:rsidRDefault="00FE5F1C" w:rsidP="00B2620E">
      <w:r>
        <w:separator/>
      </w:r>
    </w:p>
  </w:footnote>
  <w:footnote w:type="continuationSeparator" w:id="0">
    <w:p w14:paraId="6826AC1D" w14:textId="77777777" w:rsidR="00FE5F1C" w:rsidRDefault="00FE5F1C" w:rsidP="00B2620E">
      <w:r>
        <w:continuationSeparator/>
      </w:r>
    </w:p>
  </w:footnote>
  <w:footnote w:id="1">
    <w:p w14:paraId="7F57353B" w14:textId="77777777" w:rsidR="00B2620E" w:rsidRPr="00A5216A" w:rsidRDefault="00B2620E" w:rsidP="00B2620E">
      <w:pPr>
        <w:pStyle w:val="Lbjegyzetszveg"/>
        <w:ind w:left="142" w:hanging="142"/>
        <w:rPr>
          <w:sz w:val="4"/>
          <w:szCs w:val="4"/>
        </w:rPr>
      </w:pPr>
    </w:p>
    <w:p w14:paraId="4FA21231" w14:textId="77777777" w:rsidR="00B2620E" w:rsidRPr="0003723C" w:rsidRDefault="00B2620E" w:rsidP="00B2620E">
      <w:pPr>
        <w:pStyle w:val="Lbjegyzetszveg"/>
      </w:pPr>
      <w:r w:rsidRPr="0035754C">
        <w:rPr>
          <w:rStyle w:val="Lbjegyzet-hivatkozs"/>
          <w:b/>
        </w:rPr>
        <w:footnoteRef/>
      </w:r>
      <w:r w:rsidRPr="0003723C">
        <w:t xml:space="preserve"> </w:t>
      </w:r>
      <w:r w:rsidRPr="00576C00">
        <w:rPr>
          <w:b/>
        </w:rPr>
        <w:t>N</w:t>
      </w:r>
      <w:r w:rsidRPr="0003723C">
        <w:rPr>
          <w:b/>
          <w:bCs/>
        </w:rPr>
        <w:t xml:space="preserve">ftv. 108. § </w:t>
      </w:r>
      <w:r w:rsidRPr="0003723C">
        <w:t>37.</w:t>
      </w:r>
      <w:r w:rsidRPr="0003723C">
        <w:rPr>
          <w:i/>
        </w:rPr>
        <w:t xml:space="preserve"> tanóra</w:t>
      </w:r>
      <w:r w:rsidRPr="0003723C">
        <w:t xml:space="preserve">: a tantervben meghatározott tanulmányi követelmények teljesítéséhez az oktató személyes közreműködését igénylő foglalkozás (előadás, szeminárium, gyakorlat, konzultáció), amelynek időtartama legalább negyvenöt, legfeljebb hatvan perc. </w:t>
      </w:r>
    </w:p>
  </w:footnote>
  <w:footnote w:id="2">
    <w:p w14:paraId="17A0C216" w14:textId="77777777" w:rsidR="00B2620E" w:rsidRPr="0000385F" w:rsidRDefault="00B2620E" w:rsidP="00B2620E">
      <w:pPr>
        <w:pStyle w:val="Lbjegyzetszveg"/>
      </w:pPr>
      <w:r w:rsidRPr="0035754C">
        <w:rPr>
          <w:rStyle w:val="Lbjegyzet-hivatkozs"/>
          <w:b/>
        </w:rPr>
        <w:footnoteRef/>
      </w:r>
      <w:r>
        <w:t xml:space="preserve"> </w:t>
      </w:r>
      <w:r w:rsidRPr="0000385F">
        <w:t>pl. esetismertetések, szerepjáték, tematikus prezentációk stb.</w:t>
      </w:r>
    </w:p>
  </w:footnote>
  <w:footnote w:id="3">
    <w:p w14:paraId="0D428922" w14:textId="77777777" w:rsidR="00B2620E" w:rsidRPr="0000385F" w:rsidRDefault="00B2620E" w:rsidP="00B2620E">
      <w:pPr>
        <w:pStyle w:val="Lbjegyzetszveg"/>
      </w:pPr>
      <w:r w:rsidRPr="0035754C">
        <w:rPr>
          <w:rStyle w:val="Lbjegyzet-hivatkozs"/>
          <w:b/>
        </w:rPr>
        <w:footnoteRef/>
      </w:r>
      <w:r w:rsidRPr="0000385F">
        <w:t xml:space="preserve"> pl. folyamatos számonkérés, évközi beszámoló</w:t>
      </w:r>
    </w:p>
  </w:footnote>
  <w:footnote w:id="4">
    <w:p w14:paraId="4C93873C" w14:textId="77777777" w:rsidR="00B2620E" w:rsidRPr="0000385F" w:rsidRDefault="00B2620E" w:rsidP="00B2620E">
      <w:pPr>
        <w:pStyle w:val="Lbjegyzetszveg"/>
      </w:pPr>
      <w:r w:rsidRPr="0035754C">
        <w:rPr>
          <w:rStyle w:val="Lbjegyzet-hivatkozs"/>
          <w:b/>
        </w:rPr>
        <w:footnoteRef/>
      </w:r>
      <w:r w:rsidRPr="0000385F">
        <w:t xml:space="preserve"> pl. esettanulmányok, témakidolgozások, dolgozatok, esszék, üzleti, szervezési tervek stb. bekérése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AD8"/>
    <w:multiLevelType w:val="hybridMultilevel"/>
    <w:tmpl w:val="B9EC27C2"/>
    <w:lvl w:ilvl="0" w:tplc="0C80EB3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69E66692"/>
    <w:multiLevelType w:val="hybridMultilevel"/>
    <w:tmpl w:val="EE20067A"/>
    <w:lvl w:ilvl="0" w:tplc="B77CB78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620E"/>
    <w:rsid w:val="00022EC1"/>
    <w:rsid w:val="00027A0C"/>
    <w:rsid w:val="00075144"/>
    <w:rsid w:val="000755A0"/>
    <w:rsid w:val="000F71E4"/>
    <w:rsid w:val="001715D3"/>
    <w:rsid w:val="001D43EB"/>
    <w:rsid w:val="002D6A0B"/>
    <w:rsid w:val="002F6EB0"/>
    <w:rsid w:val="00321012"/>
    <w:rsid w:val="006E0DFC"/>
    <w:rsid w:val="00782C73"/>
    <w:rsid w:val="008149BD"/>
    <w:rsid w:val="00865F3D"/>
    <w:rsid w:val="00876909"/>
    <w:rsid w:val="009358E3"/>
    <w:rsid w:val="0094548A"/>
    <w:rsid w:val="00A05C64"/>
    <w:rsid w:val="00A50AEF"/>
    <w:rsid w:val="00AB50F9"/>
    <w:rsid w:val="00AC5E48"/>
    <w:rsid w:val="00B135D7"/>
    <w:rsid w:val="00B2620E"/>
    <w:rsid w:val="00B64852"/>
    <w:rsid w:val="00BF0546"/>
    <w:rsid w:val="00C0407B"/>
    <w:rsid w:val="00C20D51"/>
    <w:rsid w:val="00DF315D"/>
    <w:rsid w:val="00DF6110"/>
    <w:rsid w:val="00E31F06"/>
    <w:rsid w:val="00E33DD2"/>
    <w:rsid w:val="00E769E4"/>
    <w:rsid w:val="00FE0613"/>
    <w:rsid w:val="00FE5F1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895C9"/>
  <w15:docId w15:val="{72BF0B8C-1E13-4D02-A913-00021996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620E"/>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B2620E"/>
    <w:rPr>
      <w:vertAlign w:val="superscript"/>
    </w:rPr>
  </w:style>
  <w:style w:type="paragraph" w:styleId="Lbjegyzetszveg">
    <w:name w:val="footnote text"/>
    <w:basedOn w:val="Norml"/>
    <w:link w:val="LbjegyzetszvegChar"/>
    <w:semiHidden/>
    <w:rsid w:val="00B2620E"/>
  </w:style>
  <w:style w:type="character" w:customStyle="1" w:styleId="LbjegyzetszvegChar">
    <w:name w:val="Lábjegyzetszöveg Char"/>
    <w:basedOn w:val="Bekezdsalapbettpusa"/>
    <w:link w:val="Lbjegyzetszveg"/>
    <w:semiHidden/>
    <w:rsid w:val="00B2620E"/>
    <w:rPr>
      <w:rFonts w:ascii="Times New Roman" w:eastAsia="Times New Roman" w:hAnsi="Times New Roman" w:cs="Times New Roman"/>
      <w:sz w:val="20"/>
      <w:szCs w:val="20"/>
      <w:lang w:eastAsia="hu-HU"/>
    </w:rPr>
  </w:style>
  <w:style w:type="paragraph" w:customStyle="1" w:styleId="CharChar1CharCharCharCharCharChar">
    <w:name w:val="Char Char1 Char Char Char Char Char Char"/>
    <w:basedOn w:val="Norml"/>
    <w:rsid w:val="00B2620E"/>
    <w:pPr>
      <w:spacing w:after="160" w:line="240" w:lineRule="exact"/>
    </w:pPr>
    <w:rPr>
      <w:rFonts w:ascii="Tahoma" w:hAnsi="Tahoma" w:cs="Tahoma"/>
      <w:lang w:val="en-US" w:eastAsia="en-US"/>
    </w:rPr>
  </w:style>
  <w:style w:type="paragraph" w:styleId="Listaszerbekezds">
    <w:name w:val="List Paragraph"/>
    <w:basedOn w:val="Norml"/>
    <w:uiPriority w:val="34"/>
    <w:qFormat/>
    <w:rsid w:val="00E33DD2"/>
    <w:pPr>
      <w:ind w:left="720"/>
      <w:contextualSpacing/>
    </w:pPr>
    <w:rPr>
      <w:lang w:val="en-US" w:eastAsia="en-US" w:bidi="en-US"/>
    </w:rPr>
  </w:style>
  <w:style w:type="paragraph" w:styleId="NormlWeb">
    <w:name w:val="Normal (Web)"/>
    <w:basedOn w:val="Norml"/>
    <w:uiPriority w:val="99"/>
    <w:unhideWhenUsed/>
    <w:rsid w:val="00BF054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9108">
      <w:bodyDiv w:val="1"/>
      <w:marLeft w:val="0"/>
      <w:marRight w:val="0"/>
      <w:marTop w:val="0"/>
      <w:marBottom w:val="0"/>
      <w:divBdr>
        <w:top w:val="none" w:sz="0" w:space="0" w:color="auto"/>
        <w:left w:val="none" w:sz="0" w:space="0" w:color="auto"/>
        <w:bottom w:val="none" w:sz="0" w:space="0" w:color="auto"/>
        <w:right w:val="none" w:sz="0" w:space="0" w:color="auto"/>
      </w:divBdr>
    </w:div>
    <w:div w:id="12575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1911</Characters>
  <Application>Microsoft Office Word</Application>
  <DocSecurity>0</DocSecurity>
  <Lines>15</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PPKE</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BTK</dc:creator>
  <cp:lastModifiedBy>bbkati</cp:lastModifiedBy>
  <cp:revision>5</cp:revision>
  <dcterms:created xsi:type="dcterms:W3CDTF">2017-01-15T11:34:00Z</dcterms:created>
  <dcterms:modified xsi:type="dcterms:W3CDTF">2018-08-31T21:48:00Z</dcterms:modified>
</cp:coreProperties>
</file>