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96ED6" w14:textId="77777777" w:rsidR="007D3CDD" w:rsidRDefault="007D3CDD">
      <w:pPr>
        <w:spacing w:after="60"/>
        <w:ind w:left="708"/>
        <w:jc w:val="both"/>
        <w:rPr>
          <w:i/>
          <w:sz w:val="22"/>
          <w:szCs w:val="22"/>
        </w:rPr>
      </w:pPr>
    </w:p>
    <w:tbl>
      <w:tblPr>
        <w:tblW w:w="9356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98" w:type="dxa"/>
          <w:bottom w:w="57" w:type="dxa"/>
        </w:tblCellMar>
        <w:tblLook w:val="04A0" w:firstRow="1" w:lastRow="0" w:firstColumn="1" w:lastColumn="0" w:noHBand="0" w:noVBand="1"/>
      </w:tblPr>
      <w:tblGrid>
        <w:gridCol w:w="7045"/>
        <w:gridCol w:w="2311"/>
      </w:tblGrid>
      <w:tr w:rsidR="0020526A" w14:paraId="7D0622AF" w14:textId="77777777" w:rsidTr="007D3CDD">
        <w:tc>
          <w:tcPr>
            <w:tcW w:w="7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1DB945" w14:textId="4AF5755B" w:rsidR="0020526A" w:rsidRDefault="007D3CDD" w:rsidP="002F341A">
            <w:pPr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 w:rsidR="00C8452A">
              <w:rPr>
                <w:b/>
                <w:sz w:val="22"/>
                <w:szCs w:val="22"/>
              </w:rPr>
              <w:t xml:space="preserve">(1.) Tantárgy </w:t>
            </w:r>
            <w:r w:rsidR="00C8452A">
              <w:rPr>
                <w:sz w:val="22"/>
                <w:szCs w:val="22"/>
              </w:rPr>
              <w:t>neve:</w:t>
            </w:r>
            <w:r w:rsidR="005A752F">
              <w:rPr>
                <w:b/>
                <w:sz w:val="22"/>
                <w:szCs w:val="22"/>
              </w:rPr>
              <w:t xml:space="preserve"> </w:t>
            </w:r>
            <w:r w:rsidR="005A752F">
              <w:rPr>
                <w:b/>
                <w:sz w:val="22"/>
                <w:szCs w:val="22"/>
                <w:shd w:val="clear" w:color="auto" w:fill="FFFF00"/>
              </w:rPr>
              <w:t>Társadal</w:t>
            </w:r>
            <w:r w:rsidR="002F341A">
              <w:rPr>
                <w:b/>
                <w:sz w:val="22"/>
                <w:szCs w:val="22"/>
                <w:shd w:val="clear" w:color="auto" w:fill="FFFF00"/>
              </w:rPr>
              <w:t>o</w:t>
            </w:r>
            <w:r w:rsidR="005A752F">
              <w:rPr>
                <w:b/>
                <w:sz w:val="22"/>
                <w:szCs w:val="22"/>
                <w:shd w:val="clear" w:color="auto" w:fill="FFFF00"/>
              </w:rPr>
              <w:t>m és kultúra az amerikai film tükrében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596861" w14:textId="77777777" w:rsidR="0020526A" w:rsidRDefault="00C8452A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Kreditértéke: </w:t>
            </w:r>
            <w:r w:rsidR="007D3CDD">
              <w:rPr>
                <w:b/>
                <w:sz w:val="22"/>
                <w:szCs w:val="22"/>
                <w:shd w:val="clear" w:color="auto" w:fill="FFFF00"/>
              </w:rPr>
              <w:t>4</w:t>
            </w:r>
          </w:p>
        </w:tc>
      </w:tr>
      <w:tr w:rsidR="0020526A" w14:paraId="5697CFF9" w14:textId="77777777" w:rsidTr="007D3CDD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6D7E6B" w14:textId="77777777" w:rsidR="0020526A" w:rsidRDefault="00C8452A" w:rsidP="007D3CDD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besorolása</w:t>
            </w:r>
            <w:r>
              <w:rPr>
                <w:sz w:val="22"/>
                <w:szCs w:val="22"/>
              </w:rPr>
              <w:t xml:space="preserve">: </w:t>
            </w:r>
            <w:r w:rsidRPr="007D3CDD">
              <w:rPr>
                <w:b/>
                <w:sz w:val="22"/>
                <w:szCs w:val="22"/>
                <w:shd w:val="clear" w:color="auto" w:fill="FFFF00"/>
              </w:rPr>
              <w:t>választható</w:t>
            </w:r>
            <w:r>
              <w:rPr>
                <w:color w:val="333399"/>
                <w:sz w:val="22"/>
                <w:szCs w:val="22"/>
                <w:u w:val="single"/>
              </w:rPr>
              <w:t xml:space="preserve"> </w:t>
            </w:r>
          </w:p>
        </w:tc>
      </w:tr>
      <w:tr w:rsidR="0020526A" w14:paraId="70640059" w14:textId="77777777" w:rsidTr="007D3CDD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125C1A" w14:textId="77777777" w:rsidR="0020526A" w:rsidRDefault="00C8452A" w:rsidP="007D3CDD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tantárgy elméleti vagy gyakorlati jellegének mértéke, „</w:t>
            </w:r>
            <w:r>
              <w:rPr>
                <w:b/>
                <w:i/>
                <w:sz w:val="22"/>
                <w:szCs w:val="22"/>
              </w:rPr>
              <w:t>képzési karaktere</w:t>
            </w:r>
            <w:r>
              <w:rPr>
                <w:b/>
                <w:sz w:val="22"/>
                <w:szCs w:val="22"/>
              </w:rPr>
              <w:t>”</w:t>
            </w:r>
            <w:r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>
              <w:rPr>
                <w:sz w:val="22"/>
                <w:szCs w:val="22"/>
              </w:rPr>
              <w:t xml:space="preserve">: </w:t>
            </w:r>
            <w:r w:rsidR="007D3CDD">
              <w:rPr>
                <w:b/>
                <w:sz w:val="22"/>
                <w:szCs w:val="22"/>
                <w:shd w:val="clear" w:color="auto" w:fill="FFFF00"/>
              </w:rPr>
              <w:t>gyakorlat 100%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(kredit%)</w:t>
            </w:r>
          </w:p>
        </w:tc>
      </w:tr>
      <w:tr w:rsidR="0020526A" w14:paraId="2D6A5FC1" w14:textId="77777777" w:rsidTr="007D3CDD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6E4B4C" w14:textId="77777777" w:rsidR="0020526A" w:rsidRDefault="00C8452A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tanóra</w:t>
            </w:r>
            <w:r>
              <w:rPr>
                <w:rStyle w:val="Lbjegyzet-horgony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shd w:val="clear" w:color="auto" w:fill="FFFF00"/>
              </w:rPr>
              <w:t xml:space="preserve"> szem. </w:t>
            </w:r>
            <w:r>
              <w:rPr>
                <w:sz w:val="22"/>
                <w:szCs w:val="22"/>
              </w:rPr>
              <w:t xml:space="preserve">és </w:t>
            </w:r>
            <w:r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: </w:t>
            </w:r>
            <w:r w:rsidR="007D3CDD">
              <w:rPr>
                <w:b/>
                <w:sz w:val="22"/>
                <w:szCs w:val="22"/>
                <w:shd w:val="clear" w:color="auto" w:fill="FFFF00"/>
              </w:rPr>
              <w:t>26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az adott </w:t>
            </w:r>
            <w:r>
              <w:rPr>
                <w:b/>
                <w:sz w:val="22"/>
                <w:szCs w:val="22"/>
              </w:rPr>
              <w:t>félévben</w:t>
            </w:r>
            <w:r>
              <w:rPr>
                <w:sz w:val="22"/>
                <w:szCs w:val="22"/>
              </w:rPr>
              <w:t>,</w:t>
            </w:r>
          </w:p>
          <w:p w14:paraId="6D4B6AEA" w14:textId="77777777" w:rsidR="0020526A" w:rsidRDefault="00C8452A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ha nem (csak) magyarul oktatják a tárgyat, akkor a </w:t>
            </w:r>
            <w:r>
              <w:rPr>
                <w:b/>
                <w:sz w:val="22"/>
                <w:szCs w:val="22"/>
              </w:rPr>
              <w:t>nyelve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angol</w:t>
            </w:r>
            <w:r w:rsidRPr="007D3CDD">
              <w:rPr>
                <w:sz w:val="22"/>
                <w:szCs w:val="22"/>
              </w:rPr>
              <w:t>)</w:t>
            </w:r>
          </w:p>
          <w:p w14:paraId="015177B7" w14:textId="77777777" w:rsidR="0020526A" w:rsidRDefault="00C8452A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adott ismeret átadásában alkalmazandó </w:t>
            </w:r>
            <w:r>
              <w:rPr>
                <w:b/>
                <w:sz w:val="22"/>
                <w:szCs w:val="22"/>
              </w:rPr>
              <w:t>további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1"/>
                <w:szCs w:val="21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módok, jellemzők</w:t>
            </w:r>
            <w:r>
              <w:rPr>
                <w:rStyle w:val="Lbjegyzet-horgony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shd w:val="clear" w:color="auto" w:fill="FFFF00"/>
              </w:rPr>
              <w:t>………………………..</w:t>
            </w:r>
          </w:p>
        </w:tc>
      </w:tr>
      <w:tr w:rsidR="0020526A" w14:paraId="190CB38D" w14:textId="77777777" w:rsidTr="007D3CDD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E83266" w14:textId="77777777" w:rsidR="0020526A" w:rsidRDefault="00C8452A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 xml:space="preserve">módja (koll. / gyj. / </w:t>
            </w:r>
            <w:r>
              <w:rPr>
                <w:b/>
                <w:sz w:val="22"/>
                <w:szCs w:val="22"/>
              </w:rPr>
              <w:t>egyéb</w:t>
            </w:r>
            <w:r>
              <w:rPr>
                <w:rStyle w:val="Lbjegyzet-horgony"/>
                <w:b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): </w:t>
            </w:r>
            <w:r w:rsidR="007D3CDD">
              <w:rPr>
                <w:b/>
                <w:sz w:val="22"/>
                <w:szCs w:val="22"/>
                <w:shd w:val="clear" w:color="auto" w:fill="FFFF00"/>
              </w:rPr>
              <w:t>gyak. jegy</w:t>
            </w:r>
          </w:p>
          <w:p w14:paraId="3AE25CBE" w14:textId="77777777" w:rsidR="0020526A" w:rsidRDefault="00C8452A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ismeretellenőrzésben alkalmazandó </w:t>
            </w:r>
            <w:r>
              <w:rPr>
                <w:b/>
                <w:sz w:val="22"/>
                <w:szCs w:val="22"/>
              </w:rPr>
              <w:t xml:space="preserve">további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1"/>
                <w:szCs w:val="21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</w:t>
            </w:r>
            <w:r>
              <w:rPr>
                <w:rStyle w:val="Lbjegyzet-horgony"/>
                <w:b/>
                <w:sz w:val="22"/>
                <w:szCs w:val="22"/>
              </w:rPr>
              <w:footnoteReference w:id="4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shd w:val="clear" w:color="auto" w:fill="FFFF00"/>
              </w:rPr>
              <w:t>……………………..</w:t>
            </w:r>
          </w:p>
        </w:tc>
      </w:tr>
      <w:tr w:rsidR="0020526A" w14:paraId="161A1BE8" w14:textId="77777777" w:rsidTr="007D3CDD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50E97D" w14:textId="77777777" w:rsidR="0020526A" w:rsidRDefault="00C84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tantervi helye</w:t>
            </w:r>
            <w:r>
              <w:rPr>
                <w:sz w:val="22"/>
                <w:szCs w:val="22"/>
              </w:rPr>
              <w:t xml:space="preserve"> (hányadik félév): </w:t>
            </w:r>
            <w:r w:rsidR="007D3CDD">
              <w:rPr>
                <w:b/>
                <w:sz w:val="22"/>
                <w:szCs w:val="22"/>
                <w:shd w:val="clear" w:color="auto" w:fill="FFFF00"/>
              </w:rPr>
              <w:t>5.</w:t>
            </w:r>
          </w:p>
        </w:tc>
      </w:tr>
      <w:tr w:rsidR="0020526A" w14:paraId="4DC80368" w14:textId="77777777" w:rsidTr="007D3CDD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AD4F4E" w14:textId="77777777" w:rsidR="0020526A" w:rsidRDefault="00C8452A" w:rsidP="007D3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>
              <w:rPr>
                <w:i/>
                <w:sz w:val="22"/>
                <w:szCs w:val="22"/>
              </w:rPr>
              <w:t>(ha vannak)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D3CDD">
              <w:rPr>
                <w:b/>
                <w:sz w:val="22"/>
                <w:szCs w:val="22"/>
                <w:shd w:val="clear" w:color="auto" w:fill="FFFF00"/>
              </w:rPr>
              <w:t>BBNAN00900</w:t>
            </w:r>
          </w:p>
        </w:tc>
      </w:tr>
    </w:tbl>
    <w:p w14:paraId="0D377CBC" w14:textId="77777777" w:rsidR="0020526A" w:rsidRDefault="0020526A">
      <w:pPr>
        <w:rPr>
          <w:sz w:val="2"/>
          <w:szCs w:val="2"/>
        </w:rPr>
      </w:pPr>
    </w:p>
    <w:tbl>
      <w:tblPr>
        <w:tblW w:w="9038" w:type="dxa"/>
        <w:tblInd w:w="240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top w:w="57" w:type="dxa"/>
          <w:left w:w="98" w:type="dxa"/>
          <w:bottom w:w="57" w:type="dxa"/>
        </w:tblCellMar>
        <w:tblLook w:val="04A0" w:firstRow="1" w:lastRow="0" w:firstColumn="1" w:lastColumn="0" w:noHBand="0" w:noVBand="1"/>
      </w:tblPr>
      <w:tblGrid>
        <w:gridCol w:w="9038"/>
      </w:tblGrid>
      <w:tr w:rsidR="0020526A" w:rsidRPr="007D3CDD" w14:paraId="67958171" w14:textId="77777777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B8FB82" w14:textId="0C670F84" w:rsidR="0020526A" w:rsidRPr="007D3CDD" w:rsidRDefault="00C8452A" w:rsidP="005A752F">
            <w:pPr>
              <w:pStyle w:val="NormlWeb"/>
              <w:shd w:val="clear" w:color="auto" w:fill="FFFFFF"/>
              <w:spacing w:before="0" w:after="0"/>
              <w:ind w:firstLine="709"/>
              <w:rPr>
                <w:sz w:val="22"/>
                <w:szCs w:val="22"/>
              </w:rPr>
            </w:pPr>
            <w:r w:rsidRPr="007D3CDD">
              <w:rPr>
                <w:sz w:val="22"/>
                <w:szCs w:val="22"/>
                <w:lang w:val="hu-HU" w:eastAsia="hu-HU"/>
              </w:rPr>
              <w:t xml:space="preserve">A specializációs tantárgy az amerikai irodalmi </w:t>
            </w:r>
            <w:r w:rsidR="007D3CDD">
              <w:rPr>
                <w:sz w:val="22"/>
                <w:szCs w:val="22"/>
                <w:lang w:val="hu-HU" w:eastAsia="hu-HU"/>
              </w:rPr>
              <w:t>és országismereti alapképzésre épül</w:t>
            </w:r>
            <w:r w:rsidRPr="007D3CDD">
              <w:rPr>
                <w:sz w:val="22"/>
                <w:szCs w:val="22"/>
                <w:lang w:val="hu-HU" w:eastAsia="hu-HU"/>
              </w:rPr>
              <w:t>. Célja, hogy olyan amerikai (elsősorban, ám nem kizárólagosan hollywoodi) filmművészeti alkotásokat vegyen górcső alá, melyek kulturális és társadalmi problémákat feszegető témái folyamatosan megjele</w:t>
            </w:r>
            <w:r w:rsidR="005A752F">
              <w:rPr>
                <w:sz w:val="22"/>
                <w:szCs w:val="22"/>
                <w:lang w:val="hu-HU" w:eastAsia="hu-HU"/>
              </w:rPr>
              <w:t>nnek az amerikai irodalomban is</w:t>
            </w:r>
            <w:r w:rsidRPr="007D3CDD">
              <w:rPr>
                <w:sz w:val="22"/>
                <w:szCs w:val="22"/>
                <w:lang w:val="hu-HU" w:eastAsia="hu-HU"/>
              </w:rPr>
              <w:t xml:space="preserve"> és </w:t>
            </w:r>
            <w:r w:rsidR="005A752F">
              <w:rPr>
                <w:sz w:val="22"/>
                <w:szCs w:val="22"/>
                <w:lang w:val="hu-HU" w:eastAsia="hu-HU"/>
              </w:rPr>
              <w:t>napjainkban is aktuális</w:t>
            </w:r>
            <w:r w:rsidRPr="007D3CDD">
              <w:rPr>
                <w:sz w:val="22"/>
                <w:szCs w:val="22"/>
                <w:lang w:val="hu-HU" w:eastAsia="hu-HU"/>
              </w:rPr>
              <w:t>nek mondhatók. A fontosabb témakörök: társadalmi igazságtalanság</w:t>
            </w:r>
            <w:r w:rsidR="005A752F">
              <w:rPr>
                <w:sz w:val="22"/>
                <w:szCs w:val="22"/>
                <w:lang w:val="hu-HU" w:eastAsia="hu-HU"/>
              </w:rPr>
              <w:t>,</w:t>
            </w:r>
            <w:r w:rsidRPr="007D3CDD">
              <w:rPr>
                <w:sz w:val="22"/>
                <w:szCs w:val="22"/>
                <w:lang w:val="hu-HU" w:eastAsia="hu-HU"/>
              </w:rPr>
              <w:t xml:space="preserve"> bevándorlás, elidegenedés, faji </w:t>
            </w:r>
            <w:r w:rsidR="005A752F">
              <w:rPr>
                <w:sz w:val="22"/>
                <w:szCs w:val="22"/>
                <w:lang w:val="hu-HU" w:eastAsia="hu-HU"/>
              </w:rPr>
              <w:t xml:space="preserve">és etnikai konfliktusok, </w:t>
            </w:r>
            <w:r w:rsidRPr="007D3CDD">
              <w:rPr>
                <w:sz w:val="22"/>
                <w:szCs w:val="22"/>
                <w:lang w:val="hu-HU" w:eastAsia="hu-HU"/>
              </w:rPr>
              <w:t>politika</w:t>
            </w:r>
            <w:r w:rsidR="005A752F">
              <w:rPr>
                <w:sz w:val="22"/>
                <w:szCs w:val="22"/>
                <w:lang w:val="hu-HU" w:eastAsia="hu-HU"/>
              </w:rPr>
              <w:t xml:space="preserve"> és média</w:t>
            </w:r>
            <w:r w:rsidRPr="007D3CDD">
              <w:rPr>
                <w:sz w:val="22"/>
                <w:szCs w:val="22"/>
                <w:lang w:val="hu-HU" w:eastAsia="hu-HU"/>
              </w:rPr>
              <w:t xml:space="preserve">, az újvilági Édenkert mítosza, technológia, feminizmus és az amerikai álom. A témákat </w:t>
            </w:r>
            <w:r w:rsidR="005A752F">
              <w:rPr>
                <w:sz w:val="22"/>
                <w:szCs w:val="22"/>
                <w:lang w:val="hu-HU" w:eastAsia="hu-HU"/>
              </w:rPr>
              <w:t xml:space="preserve">közismert sikerfilmeken és kevéssé ismert művészfilmeken keresztül egyaránt szemügyre vesszük. </w:t>
            </w:r>
          </w:p>
        </w:tc>
      </w:tr>
      <w:tr w:rsidR="0020526A" w14:paraId="56C8510C" w14:textId="77777777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93B65F" w14:textId="77777777" w:rsidR="0020526A" w:rsidRDefault="00C8452A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2–5</w:t>
            </w:r>
            <w:r>
              <w:rPr>
                <w:sz w:val="22"/>
                <w:szCs w:val="22"/>
              </w:rPr>
              <w:t xml:space="preserve"> legfontosabb </w:t>
            </w:r>
            <w:r>
              <w:rPr>
                <w:i/>
                <w:sz w:val="22"/>
                <w:szCs w:val="22"/>
              </w:rPr>
              <w:t>kötelező,</w:t>
            </w:r>
            <w:r>
              <w:rPr>
                <w:sz w:val="22"/>
                <w:szCs w:val="22"/>
              </w:rPr>
              <w:t xml:space="preserve"> illetve </w:t>
            </w:r>
            <w:r>
              <w:rPr>
                <w:i/>
                <w:sz w:val="22"/>
                <w:szCs w:val="22"/>
              </w:rPr>
              <w:t>ajánlott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irodalom </w:t>
            </w:r>
            <w:r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0526A" w14:paraId="1A2174A6" w14:textId="77777777">
        <w:tc>
          <w:tcPr>
            <w:tcW w:w="903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1FC8C"/>
            <w:tcMar>
              <w:left w:w="98" w:type="dxa"/>
            </w:tcMar>
            <w:vAlign w:val="center"/>
          </w:tcPr>
          <w:p w14:paraId="5DDA20FC" w14:textId="77777777" w:rsidR="0020526A" w:rsidRPr="007D3CDD" w:rsidRDefault="00C8452A">
            <w:pPr>
              <w:pStyle w:val="Szvegtrzs1"/>
            </w:pPr>
            <w:r w:rsidRPr="007D3CDD">
              <w:rPr>
                <w:bCs/>
                <w:sz w:val="22"/>
                <w:szCs w:val="22"/>
              </w:rPr>
              <w:t>Kötelező irodalom:</w:t>
            </w:r>
          </w:p>
          <w:p w14:paraId="14304568" w14:textId="77777777" w:rsidR="0020526A" w:rsidRPr="007D3CDD" w:rsidRDefault="00C8452A">
            <w:pPr>
              <w:pStyle w:val="Szvegtrzs1"/>
              <w:numPr>
                <w:ilvl w:val="0"/>
                <w:numId w:val="2"/>
              </w:numPr>
            </w:pPr>
            <w:r w:rsidRPr="007D3CDD">
              <w:rPr>
                <w:bCs/>
                <w:i/>
                <w:iCs/>
                <w:sz w:val="22"/>
                <w:szCs w:val="22"/>
              </w:rPr>
              <w:t>A Political Companion to American Film</w:t>
            </w:r>
            <w:r w:rsidRPr="007D3CDD">
              <w:rPr>
                <w:bCs/>
                <w:sz w:val="22"/>
                <w:szCs w:val="22"/>
              </w:rPr>
              <w:t xml:space="preserve">. Ed. Gary Crowdus, Lakeview, 1994. </w:t>
            </w:r>
            <w:r w:rsidRPr="007D3CDD">
              <w:rPr>
                <w:bCs/>
                <w:color w:val="333333"/>
                <w:sz w:val="22"/>
                <w:szCs w:val="22"/>
              </w:rPr>
              <w:t>ISBN-10: 0941702421</w:t>
            </w:r>
          </w:p>
          <w:p w14:paraId="1AE362CD" w14:textId="77777777" w:rsidR="0020526A" w:rsidRPr="007D3CDD" w:rsidRDefault="00C8452A">
            <w:pPr>
              <w:pStyle w:val="Szvegtrzs1"/>
              <w:numPr>
                <w:ilvl w:val="0"/>
                <w:numId w:val="2"/>
              </w:numPr>
            </w:pPr>
            <w:r w:rsidRPr="007D3CDD">
              <w:rPr>
                <w:bCs/>
                <w:i/>
                <w:iCs/>
                <w:sz w:val="22"/>
                <w:szCs w:val="22"/>
              </w:rPr>
              <w:t>American Cinema and Hollywood: Critical Approaches</w:t>
            </w:r>
            <w:bookmarkStart w:id="0" w:name="bookEdition"/>
            <w:bookmarkEnd w:id="0"/>
            <w:r w:rsidRPr="007D3CDD">
              <w:rPr>
                <w:bCs/>
                <w:sz w:val="22"/>
                <w:szCs w:val="22"/>
              </w:rPr>
              <w:t xml:space="preserve">. Ed. John Hill, Pamela Church Gibson, Richard Dryer, E. Ann Kaplan, Paul Willemen. Oxford UP, 2000. </w:t>
            </w:r>
            <w:r w:rsidRPr="007D3CDD">
              <w:rPr>
                <w:bCs/>
                <w:color w:val="111111"/>
                <w:sz w:val="22"/>
                <w:szCs w:val="22"/>
              </w:rPr>
              <w:t>ISBN-13: 978-0198742814</w:t>
            </w:r>
          </w:p>
          <w:p w14:paraId="205218E8" w14:textId="77777777" w:rsidR="0020526A" w:rsidRPr="007D3CDD" w:rsidRDefault="00C8452A">
            <w:pPr>
              <w:pStyle w:val="Szvegtrzs1"/>
            </w:pPr>
            <w:r w:rsidRPr="007D3CDD">
              <w:rPr>
                <w:bCs/>
                <w:color w:val="111111"/>
                <w:sz w:val="22"/>
                <w:szCs w:val="22"/>
              </w:rPr>
              <w:t>Ajánlott irodalom:</w:t>
            </w:r>
          </w:p>
          <w:p w14:paraId="08924C3C" w14:textId="77777777" w:rsidR="0020526A" w:rsidRPr="007D3CDD" w:rsidRDefault="00C8452A">
            <w:pPr>
              <w:pStyle w:val="Szvegtrzs1"/>
              <w:numPr>
                <w:ilvl w:val="0"/>
                <w:numId w:val="2"/>
              </w:numPr>
            </w:pPr>
            <w:r w:rsidRPr="007D3CDD">
              <w:rPr>
                <w:bCs/>
                <w:i/>
                <w:iCs/>
                <w:color w:val="111111"/>
                <w:sz w:val="22"/>
                <w:szCs w:val="22"/>
              </w:rPr>
              <w:t xml:space="preserve">Film Studies: </w:t>
            </w:r>
            <w:r w:rsidRPr="007D3CDD">
              <w:rPr>
                <w:bCs/>
                <w:i/>
                <w:iCs/>
                <w:sz w:val="22"/>
                <w:szCs w:val="22"/>
              </w:rPr>
              <w:t>Critical Approaches</w:t>
            </w:r>
            <w:bookmarkStart w:id="1" w:name="bookEdition2"/>
            <w:bookmarkEnd w:id="1"/>
            <w:r w:rsidRPr="007D3CDD">
              <w:rPr>
                <w:bCs/>
                <w:sz w:val="22"/>
                <w:szCs w:val="22"/>
              </w:rPr>
              <w:t xml:space="preserve">. Ed. John Hill, Pamela Church Gibson, Richard Dryer, E. Ann Kaplan, Paul Willemen. Oxford UP, 2000. </w:t>
            </w:r>
            <w:r w:rsidRPr="007D3CDD">
              <w:rPr>
                <w:bCs/>
                <w:color w:val="111111"/>
                <w:sz w:val="22"/>
                <w:szCs w:val="22"/>
              </w:rPr>
              <w:t xml:space="preserve">ISBN-13: 978-0198742807 </w:t>
            </w:r>
          </w:p>
          <w:p w14:paraId="6F834601" w14:textId="77777777" w:rsidR="0020526A" w:rsidRPr="007D3CDD" w:rsidRDefault="00C8452A">
            <w:pPr>
              <w:pStyle w:val="Szvegtrzs1"/>
              <w:numPr>
                <w:ilvl w:val="0"/>
                <w:numId w:val="2"/>
              </w:numPr>
            </w:pPr>
            <w:r w:rsidRPr="007D3CDD">
              <w:rPr>
                <w:bCs/>
                <w:i/>
                <w:iCs/>
                <w:color w:val="111111"/>
                <w:sz w:val="22"/>
                <w:szCs w:val="22"/>
              </w:rPr>
              <w:t>A Companion to Film Theory</w:t>
            </w:r>
            <w:r w:rsidRPr="007D3CDD">
              <w:rPr>
                <w:bCs/>
                <w:color w:val="111111"/>
                <w:sz w:val="22"/>
                <w:szCs w:val="22"/>
              </w:rPr>
              <w:t>. Ed. Toby Miller and Robert Stam. Wiley-Blackwell, 2003. ISBN: 978-0-631-20645-3</w:t>
            </w:r>
          </w:p>
        </w:tc>
      </w:tr>
    </w:tbl>
    <w:p w14:paraId="7A0E5E97" w14:textId="77777777" w:rsidR="0020526A" w:rsidRDefault="0020526A">
      <w:bookmarkStart w:id="2" w:name="_GoBack"/>
      <w:bookmarkEnd w:id="2"/>
    </w:p>
    <w:sectPr w:rsidR="0020526A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C22FA" w14:textId="77777777" w:rsidR="00B0741B" w:rsidRDefault="00B0741B">
      <w:r>
        <w:separator/>
      </w:r>
    </w:p>
  </w:endnote>
  <w:endnote w:type="continuationSeparator" w:id="0">
    <w:p w14:paraId="731CDDC1" w14:textId="77777777" w:rsidR="00B0741B" w:rsidRDefault="00B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142D9" w14:textId="77777777" w:rsidR="00B0741B" w:rsidRDefault="00B0741B">
      <w:r>
        <w:separator/>
      </w:r>
    </w:p>
  </w:footnote>
  <w:footnote w:type="continuationSeparator" w:id="0">
    <w:p w14:paraId="0AF05A22" w14:textId="77777777" w:rsidR="00B0741B" w:rsidRDefault="00B0741B">
      <w:r>
        <w:continuationSeparator/>
      </w:r>
    </w:p>
  </w:footnote>
  <w:footnote w:id="1">
    <w:p w14:paraId="575D6D40" w14:textId="77777777" w:rsidR="00C8452A" w:rsidRDefault="00C8452A">
      <w:pPr>
        <w:pStyle w:val="Lbjegyzet"/>
      </w:pPr>
      <w:r>
        <w:rPr>
          <w:rStyle w:val="Lbjegyzet-hivatkozs"/>
          <w:b/>
        </w:rPr>
        <w:footnoteRef/>
      </w:r>
      <w:r>
        <w:rPr>
          <w:rStyle w:val="Lbjegyzet-hivatkozs"/>
          <w:b/>
        </w:rPr>
        <w:tab/>
      </w:r>
      <w:r>
        <w:t xml:space="preserve"> </w:t>
      </w:r>
      <w:r>
        <w:rPr>
          <w:b/>
        </w:rPr>
        <w:t>N</w:t>
      </w:r>
      <w:r>
        <w:rPr>
          <w:b/>
          <w:bCs/>
        </w:rPr>
        <w:t xml:space="preserve">ftv. 108. § </w:t>
      </w:r>
      <w:r>
        <w:t>37.</w:t>
      </w:r>
      <w:r>
        <w:rPr>
          <w:i/>
        </w:rPr>
        <w:t xml:space="preserve"> tanóra</w:t>
      </w:r>
      <w:r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  <w:p w14:paraId="36351CF9" w14:textId="77777777" w:rsidR="00C8452A" w:rsidRDefault="00C8452A">
      <w:pPr>
        <w:pStyle w:val="Lbjegyzet"/>
      </w:pPr>
    </w:p>
  </w:footnote>
  <w:footnote w:id="2">
    <w:p w14:paraId="2EA54570" w14:textId="77777777" w:rsidR="00C8452A" w:rsidRDefault="00C8452A">
      <w:pPr>
        <w:pStyle w:val="Lbjegyzet"/>
      </w:pPr>
      <w:r>
        <w:rPr>
          <w:rStyle w:val="Lbjegyzet-hivatkozs"/>
          <w:b/>
        </w:rPr>
        <w:footnoteRef/>
      </w:r>
      <w:r>
        <w:rPr>
          <w:rStyle w:val="Lbjegyzet-hivatkozs"/>
          <w:b/>
        </w:rPr>
        <w:tab/>
      </w:r>
      <w:r>
        <w:t xml:space="preserve"> pl. esetismertetések, szerepjáték, tematikus prezentációk stb.</w:t>
      </w:r>
    </w:p>
  </w:footnote>
  <w:footnote w:id="3">
    <w:p w14:paraId="1565B062" w14:textId="77777777" w:rsidR="00C8452A" w:rsidRDefault="00C8452A">
      <w:pPr>
        <w:pStyle w:val="Lbjegyzet"/>
      </w:pPr>
      <w:r>
        <w:rPr>
          <w:rStyle w:val="Lbjegyzet-hivatkozs"/>
          <w:b/>
        </w:rPr>
        <w:footnoteRef/>
      </w:r>
      <w:r>
        <w:rPr>
          <w:rStyle w:val="Lbjegyzet-hivatkozs"/>
          <w:b/>
        </w:rPr>
        <w:tab/>
      </w:r>
      <w:r>
        <w:t xml:space="preserve"> pl. folyamatos számonkérés, évközi beszámoló</w:t>
      </w:r>
    </w:p>
  </w:footnote>
  <w:footnote w:id="4">
    <w:p w14:paraId="792C5925" w14:textId="77777777" w:rsidR="00C8452A" w:rsidRDefault="00C8452A">
      <w:pPr>
        <w:pStyle w:val="Lbjegyzet"/>
      </w:pPr>
      <w:r>
        <w:rPr>
          <w:rStyle w:val="Lbjegyzet-hivatkozs"/>
          <w:b/>
        </w:rPr>
        <w:footnoteRef/>
      </w:r>
      <w:r>
        <w:rPr>
          <w:rStyle w:val="Lbjegyzet-hivatkozs"/>
          <w:b/>
        </w:rPr>
        <w:tab/>
      </w:r>
      <w:r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6D01"/>
    <w:multiLevelType w:val="multilevel"/>
    <w:tmpl w:val="FF6A27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535669"/>
    <w:multiLevelType w:val="multilevel"/>
    <w:tmpl w:val="6790902C"/>
    <w:lvl w:ilvl="0">
      <w:start w:val="1"/>
      <w:numFmt w:val="lowerLetter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A5088C"/>
    <w:multiLevelType w:val="multilevel"/>
    <w:tmpl w:val="197AB2C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6A"/>
    <w:rsid w:val="0020526A"/>
    <w:rsid w:val="002F341A"/>
    <w:rsid w:val="005A752F"/>
    <w:rsid w:val="007D3CDD"/>
    <w:rsid w:val="00B0741B"/>
    <w:rsid w:val="00C8452A"/>
    <w:rsid w:val="00F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6BB49"/>
  <w15:docId w15:val="{3740F023-7D1C-4EAB-B5EA-66C2FAA5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1">
    <w:name w:val="Szövegtörzs1"/>
    <w:basedOn w:val="Norml"/>
    <w:pPr>
      <w:spacing w:after="140" w:line="288" w:lineRule="auto"/>
    </w:pPr>
  </w:style>
  <w:style w:type="paragraph" w:customStyle="1" w:styleId="Lista1">
    <w:name w:val="Lista1"/>
    <w:basedOn w:val="Szvegtrzs1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  <w:link w:val="LbjegyzetszvegChar"/>
    <w:semiHidden/>
    <w:rsid w:val="00B2620E"/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E33DD2"/>
    <w:pPr>
      <w:ind w:left="720"/>
      <w:contextualSpacing/>
    </w:pPr>
    <w:rPr>
      <w:lang w:val="en-US" w:eastAsia="en-US" w:bidi="en-US"/>
    </w:rPr>
  </w:style>
  <w:style w:type="paragraph" w:styleId="NormlWeb">
    <w:name w:val="Normal (Web)"/>
    <w:basedOn w:val="Norml"/>
    <w:uiPriority w:val="99"/>
    <w:unhideWhenUsed/>
    <w:rsid w:val="00BF0546"/>
    <w:pPr>
      <w:spacing w:before="280" w:after="280"/>
    </w:pPr>
    <w:rPr>
      <w:sz w:val="24"/>
      <w:szCs w:val="24"/>
      <w:lang w:val="en-US" w:eastAsia="en-US"/>
    </w:rPr>
  </w:style>
  <w:style w:type="paragraph" w:customStyle="1" w:styleId="Lbjegyzet">
    <w:name w:val="Lábjegyzet"/>
    <w:basedOn w:val="Norm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266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17</cp:revision>
  <dcterms:created xsi:type="dcterms:W3CDTF">2017-01-14T00:09:00Z</dcterms:created>
  <dcterms:modified xsi:type="dcterms:W3CDTF">2018-08-31T21:39:00Z</dcterms:modified>
  <dc:language>hu-HU</dc:language>
</cp:coreProperties>
</file>