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8930" w14:textId="77777777" w:rsidR="00226AFA" w:rsidRDefault="00226AFA"/>
    <w:tbl>
      <w:tblPr>
        <w:tblW w:w="9497"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3" w:type="dxa"/>
          <w:bottom w:w="57" w:type="dxa"/>
        </w:tblCellMar>
        <w:tblLook w:val="04A0" w:firstRow="1" w:lastRow="0" w:firstColumn="1" w:lastColumn="0" w:noHBand="0" w:noVBand="1"/>
      </w:tblPr>
      <w:tblGrid>
        <w:gridCol w:w="7088"/>
        <w:gridCol w:w="2409"/>
      </w:tblGrid>
      <w:tr w:rsidR="00226AFA" w14:paraId="304E9A8D" w14:textId="77777777" w:rsidTr="004903EB">
        <w:tc>
          <w:tcPr>
            <w:tcW w:w="70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79E4D" w14:textId="75B35E5B" w:rsidR="00226AFA" w:rsidRDefault="00865839" w:rsidP="00865839">
            <w:pPr>
              <w:jc w:val="both"/>
            </w:pPr>
            <w:r>
              <w:rPr>
                <w:sz w:val="22"/>
              </w:rPr>
              <w:t>Title of the subject:</w:t>
            </w:r>
            <w:r>
              <w:rPr>
                <w:b/>
                <w:bCs/>
                <w:color w:val="222222"/>
                <w:sz w:val="22"/>
                <w:szCs w:val="22"/>
              </w:rPr>
              <w:t xml:space="preserve"> Reflections on Society and Culture in American movies</w:t>
            </w:r>
            <w:r>
              <w:rPr>
                <w:sz w:val="22"/>
                <w:szCs w:val="22"/>
              </w:rPr>
              <w:t xml:space="preserve">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0BBBB" w14:textId="77777777" w:rsidR="00226AFA" w:rsidRDefault="00865839">
            <w:pPr>
              <w:spacing w:before="60"/>
              <w:jc w:val="both"/>
              <w:rPr>
                <w:sz w:val="22"/>
                <w:szCs w:val="22"/>
              </w:rPr>
            </w:pPr>
            <w:r>
              <w:rPr>
                <w:sz w:val="22"/>
              </w:rPr>
              <w:t xml:space="preserve">Credit value: </w:t>
            </w:r>
            <w:r w:rsidR="004903EB">
              <w:rPr>
                <w:sz w:val="22"/>
              </w:rPr>
              <w:t>4</w:t>
            </w:r>
          </w:p>
        </w:tc>
      </w:tr>
      <w:tr w:rsidR="00226AFA" w14:paraId="5860C68B" w14:textId="77777777" w:rsidTr="004903EB">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BCDBE" w14:textId="77777777" w:rsidR="00226AFA" w:rsidRDefault="00865839">
            <w:pPr>
              <w:spacing w:before="60"/>
              <w:jc w:val="both"/>
              <w:rPr>
                <w:sz w:val="22"/>
                <w:szCs w:val="22"/>
              </w:rPr>
            </w:pPr>
            <w:r>
              <w:rPr>
                <w:sz w:val="22"/>
              </w:rPr>
              <w:t>Cate</w:t>
            </w:r>
            <w:r w:rsidR="004903EB">
              <w:rPr>
                <w:sz w:val="22"/>
              </w:rPr>
              <w:t xml:space="preserve">gory of the subject: </w:t>
            </w:r>
            <w:r>
              <w:rPr>
                <w:sz w:val="22"/>
              </w:rPr>
              <w:t xml:space="preserve">optional </w:t>
            </w:r>
          </w:p>
        </w:tc>
      </w:tr>
      <w:tr w:rsidR="00226AFA" w14:paraId="05B26829" w14:textId="77777777" w:rsidTr="004903EB">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AD9824" w14:textId="77777777" w:rsidR="00226AFA" w:rsidRDefault="00865839" w:rsidP="004903EB">
            <w:pPr>
              <w:spacing w:before="40" w:after="40"/>
              <w:jc w:val="both"/>
              <w:rPr>
                <w:sz w:val="22"/>
                <w:szCs w:val="22"/>
              </w:rPr>
            </w:pPr>
            <w:r>
              <w:rPr>
                <w:sz w:val="22"/>
              </w:rPr>
              <w:t>Extent of the theoretical or practical nature of the subject, "</w:t>
            </w:r>
            <w:r>
              <w:rPr>
                <w:i/>
                <w:sz w:val="22"/>
              </w:rPr>
              <w:t>educational character</w:t>
            </w:r>
            <w:r>
              <w:rPr>
                <w:sz w:val="22"/>
              </w:rPr>
              <w:t>"</w:t>
            </w:r>
            <w:r>
              <w:rPr>
                <w:rStyle w:val="Lbjegyzet-horgony"/>
                <w:sz w:val="22"/>
              </w:rPr>
              <w:footnoteReference w:id="1"/>
            </w:r>
            <w:r>
              <w:rPr>
                <w:sz w:val="22"/>
              </w:rPr>
              <w:t xml:space="preserve">: </w:t>
            </w:r>
            <w:r w:rsidR="004903EB">
              <w:rPr>
                <w:sz w:val="22"/>
              </w:rPr>
              <w:t>practical 100%</w:t>
            </w:r>
            <w:r>
              <w:rPr>
                <w:sz w:val="22"/>
              </w:rPr>
              <w:t xml:space="preserve"> (credit%)</w:t>
            </w:r>
          </w:p>
        </w:tc>
      </w:tr>
      <w:tr w:rsidR="00226AFA" w14:paraId="55FA35DC" w14:textId="77777777" w:rsidTr="004903EB">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2A086" w14:textId="77777777" w:rsidR="00226AFA" w:rsidRDefault="00865839">
            <w:pPr>
              <w:spacing w:before="60"/>
              <w:jc w:val="both"/>
              <w:rPr>
                <w:sz w:val="22"/>
                <w:szCs w:val="22"/>
              </w:rPr>
            </w:pPr>
            <w:r>
              <w:rPr>
                <w:sz w:val="22"/>
              </w:rPr>
              <w:t xml:space="preserve">Type of the class: </w:t>
            </w:r>
            <w:r w:rsidR="004903EB">
              <w:rPr>
                <w:b/>
                <w:sz w:val="22"/>
              </w:rPr>
              <w:t>seminar</w:t>
            </w:r>
            <w:r>
              <w:rPr>
                <w:sz w:val="22"/>
              </w:rPr>
              <w:t xml:space="preserve"> and number of classes: </w:t>
            </w:r>
            <w:r w:rsidR="004903EB">
              <w:rPr>
                <w:sz w:val="22"/>
              </w:rPr>
              <w:t>26</w:t>
            </w:r>
            <w:r>
              <w:rPr>
                <w:sz w:val="22"/>
              </w:rPr>
              <w:t xml:space="preserve"> in the given semester,</w:t>
            </w:r>
          </w:p>
          <w:p w14:paraId="04E4EDEE" w14:textId="77777777" w:rsidR="00226AFA" w:rsidRDefault="00865839">
            <w:pPr>
              <w:spacing w:before="60"/>
              <w:jc w:val="both"/>
              <w:rPr>
                <w:sz w:val="22"/>
                <w:szCs w:val="22"/>
              </w:rPr>
            </w:pPr>
            <w:r>
              <w:rPr>
                <w:sz w:val="22"/>
              </w:rPr>
              <w:t>(</w:t>
            </w:r>
            <w:r>
              <w:rPr>
                <w:i/>
                <w:sz w:val="22"/>
              </w:rPr>
              <w:t>if the subject is (partially) taught in any language other than Hungarian, then the language</w:t>
            </w:r>
            <w:r>
              <w:rPr>
                <w:sz w:val="22"/>
              </w:rPr>
              <w:t>:</w:t>
            </w:r>
            <w:r>
              <w:rPr>
                <w:i/>
                <w:sz w:val="22"/>
              </w:rPr>
              <w:t xml:space="preserve"> </w:t>
            </w:r>
            <w:r>
              <w:rPr>
                <w:b/>
                <w:sz w:val="22"/>
              </w:rPr>
              <w:t>English</w:t>
            </w:r>
            <w:r w:rsidRPr="004903EB">
              <w:rPr>
                <w:b/>
                <w:sz w:val="22"/>
              </w:rPr>
              <w:t>)</w:t>
            </w:r>
          </w:p>
          <w:p w14:paraId="5D886E3E" w14:textId="77777777" w:rsidR="00226AFA" w:rsidRDefault="00865839">
            <w:pPr>
              <w:spacing w:before="60"/>
              <w:jc w:val="both"/>
              <w:rPr>
                <w:sz w:val="22"/>
                <w:szCs w:val="22"/>
              </w:rPr>
            </w:pPr>
            <w:r>
              <w:rPr>
                <w:sz w:val="22"/>
              </w:rPr>
              <w:t>Further (</w:t>
            </w:r>
            <w:r>
              <w:rPr>
                <w:i/>
                <w:sz w:val="21"/>
              </w:rPr>
              <w:t>specific</w:t>
            </w:r>
            <w:r>
              <w:rPr>
                <w:sz w:val="22"/>
              </w:rPr>
              <w:t>) forms, characteristics</w:t>
            </w:r>
            <w:r>
              <w:rPr>
                <w:rStyle w:val="Lbjegyzet-horgony"/>
                <w:sz w:val="22"/>
              </w:rPr>
              <w:footnoteReference w:id="2"/>
            </w:r>
            <w:r>
              <w:rPr>
                <w:sz w:val="22"/>
              </w:rPr>
              <w:t xml:space="preserve"> of the transfer of the given knowledge </w:t>
            </w:r>
            <w:r>
              <w:rPr>
                <w:i/>
                <w:sz w:val="21"/>
              </w:rPr>
              <w:t>(if any)</w:t>
            </w:r>
            <w:r>
              <w:rPr>
                <w:sz w:val="22"/>
              </w:rPr>
              <w:t>: ………………………..</w:t>
            </w:r>
          </w:p>
        </w:tc>
      </w:tr>
      <w:tr w:rsidR="00226AFA" w14:paraId="39B661D5" w14:textId="77777777" w:rsidTr="004903EB">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23FE" w14:textId="77777777" w:rsidR="00226AFA" w:rsidRDefault="00865839">
            <w:pPr>
              <w:spacing w:before="60"/>
              <w:jc w:val="both"/>
              <w:rPr>
                <w:sz w:val="22"/>
                <w:szCs w:val="22"/>
              </w:rPr>
            </w:pPr>
            <w:r>
              <w:rPr>
                <w:sz w:val="22"/>
              </w:rPr>
              <w:t xml:space="preserve">Form of testing (exam / pract. mark / other): </w:t>
            </w:r>
            <w:r>
              <w:rPr>
                <w:b/>
                <w:sz w:val="22"/>
              </w:rPr>
              <w:t>seminar mark</w:t>
            </w:r>
          </w:p>
          <w:p w14:paraId="0FFEB6C5" w14:textId="77777777" w:rsidR="00226AFA" w:rsidRDefault="00865839">
            <w:pPr>
              <w:spacing w:before="60"/>
              <w:jc w:val="both"/>
              <w:rPr>
                <w:sz w:val="22"/>
                <w:szCs w:val="22"/>
              </w:rPr>
            </w:pPr>
            <w:r>
              <w:rPr>
                <w:sz w:val="22"/>
              </w:rPr>
              <w:t>Further (</w:t>
            </w:r>
            <w:r>
              <w:rPr>
                <w:i/>
                <w:sz w:val="21"/>
              </w:rPr>
              <w:t>specific</w:t>
            </w:r>
            <w:r>
              <w:rPr>
                <w:sz w:val="22"/>
              </w:rPr>
              <w:t xml:space="preserve">) forms to be applied in </w:t>
            </w:r>
            <w:r>
              <w:rPr>
                <w:rStyle w:val="Lbjegyzet-horgony"/>
                <w:sz w:val="22"/>
              </w:rPr>
              <w:footnoteReference w:id="3"/>
            </w:r>
            <w:r>
              <w:rPr>
                <w:sz w:val="22"/>
              </w:rPr>
              <w:t xml:space="preserve"> knowledge testing</w:t>
            </w:r>
            <w:r>
              <w:rPr>
                <w:i/>
                <w:sz w:val="21"/>
              </w:rPr>
              <w:t>(if any)</w:t>
            </w:r>
            <w:r>
              <w:rPr>
                <w:sz w:val="22"/>
              </w:rPr>
              <w:t>: ……………………..</w:t>
            </w:r>
          </w:p>
        </w:tc>
      </w:tr>
      <w:tr w:rsidR="00226AFA" w14:paraId="741293C3" w14:textId="77777777" w:rsidTr="004903EB">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4000C" w14:textId="77777777" w:rsidR="00226AFA" w:rsidRDefault="00865839">
            <w:pPr>
              <w:jc w:val="both"/>
              <w:rPr>
                <w:sz w:val="22"/>
                <w:szCs w:val="22"/>
              </w:rPr>
            </w:pPr>
            <w:r>
              <w:rPr>
                <w:sz w:val="22"/>
              </w:rPr>
              <w:t xml:space="preserve">Position of the subject in the curriculum (number of the semester): </w:t>
            </w:r>
            <w:r w:rsidR="004903EB">
              <w:rPr>
                <w:sz w:val="22"/>
              </w:rPr>
              <w:t>5th</w:t>
            </w:r>
          </w:p>
        </w:tc>
      </w:tr>
      <w:tr w:rsidR="00226AFA" w14:paraId="448FF0D0" w14:textId="77777777" w:rsidTr="004903EB">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BA404" w14:textId="77777777" w:rsidR="00226AFA" w:rsidRDefault="00865839" w:rsidP="004903EB">
            <w:pPr>
              <w:jc w:val="both"/>
              <w:rPr>
                <w:sz w:val="22"/>
                <w:szCs w:val="22"/>
              </w:rPr>
            </w:pPr>
            <w:r>
              <w:rPr>
                <w:sz w:val="22"/>
              </w:rPr>
              <w:t xml:space="preserve">Required preliminary studies </w:t>
            </w:r>
            <w:r>
              <w:rPr>
                <w:i/>
                <w:sz w:val="22"/>
              </w:rPr>
              <w:t>(if any)</w:t>
            </w:r>
            <w:r>
              <w:rPr>
                <w:sz w:val="22"/>
              </w:rPr>
              <w:t>:</w:t>
            </w:r>
            <w:r>
              <w:rPr>
                <w:i/>
                <w:sz w:val="22"/>
              </w:rPr>
              <w:t xml:space="preserve"> </w:t>
            </w:r>
            <w:r w:rsidR="004903EB">
              <w:rPr>
                <w:sz w:val="22"/>
              </w:rPr>
              <w:t>BBNAN00900</w:t>
            </w:r>
          </w:p>
        </w:tc>
      </w:tr>
    </w:tbl>
    <w:p w14:paraId="611640B7" w14:textId="77777777" w:rsidR="00226AFA" w:rsidRDefault="00226AFA">
      <w:pPr>
        <w:rPr>
          <w:sz w:val="2"/>
          <w:szCs w:val="2"/>
        </w:rPr>
      </w:pPr>
    </w:p>
    <w:tbl>
      <w:tblPr>
        <w:tblW w:w="9497" w:type="dxa"/>
        <w:tblInd w:w="235" w:type="dxa"/>
        <w:tblBorders>
          <w:top w:val="single" w:sz="4" w:space="0" w:color="00000A"/>
          <w:left w:val="single" w:sz="4" w:space="0" w:color="00000A"/>
          <w:bottom w:val="dotted" w:sz="4" w:space="0" w:color="00000A"/>
          <w:right w:val="single" w:sz="4" w:space="0" w:color="00000A"/>
          <w:insideH w:val="dotted" w:sz="4" w:space="0" w:color="00000A"/>
          <w:insideV w:val="single" w:sz="4" w:space="0" w:color="00000A"/>
        </w:tblBorders>
        <w:tblCellMar>
          <w:top w:w="57" w:type="dxa"/>
          <w:left w:w="93" w:type="dxa"/>
          <w:bottom w:w="57" w:type="dxa"/>
        </w:tblCellMar>
        <w:tblLook w:val="04A0" w:firstRow="1" w:lastRow="0" w:firstColumn="1" w:lastColumn="0" w:noHBand="0" w:noVBand="1"/>
      </w:tblPr>
      <w:tblGrid>
        <w:gridCol w:w="9497"/>
      </w:tblGrid>
      <w:tr w:rsidR="00226AFA" w14:paraId="5C12FB3C" w14:textId="77777777">
        <w:tc>
          <w:tcPr>
            <w:tcW w:w="9497" w:type="dxa"/>
            <w:tcBorders>
              <w:top w:val="single" w:sz="4" w:space="0" w:color="00000A"/>
              <w:left w:val="single" w:sz="4" w:space="0" w:color="00000A"/>
              <w:bottom w:val="dotted" w:sz="4" w:space="0" w:color="00000A"/>
              <w:right w:val="single" w:sz="4" w:space="0" w:color="00000A"/>
            </w:tcBorders>
            <w:shd w:val="clear" w:color="auto" w:fill="auto"/>
            <w:tcMar>
              <w:left w:w="93" w:type="dxa"/>
            </w:tcMar>
          </w:tcPr>
          <w:p w14:paraId="2DBD8E90" w14:textId="77777777" w:rsidR="00226AFA" w:rsidRDefault="00865839">
            <w:pPr>
              <w:spacing w:before="60"/>
              <w:jc w:val="both"/>
              <w:rPr>
                <w:sz w:val="22"/>
                <w:szCs w:val="22"/>
              </w:rPr>
            </w:pPr>
            <w:r>
              <w:rPr>
                <w:sz w:val="22"/>
              </w:rPr>
              <w:t>Description of the subject: the brief, still informative description of the knowledge to be attained</w:t>
            </w:r>
          </w:p>
        </w:tc>
      </w:tr>
      <w:tr w:rsidR="00226AFA" w14:paraId="44316182" w14:textId="77777777">
        <w:trPr>
          <w:trHeight w:val="280"/>
        </w:trPr>
        <w:tc>
          <w:tcPr>
            <w:tcW w:w="9497" w:type="dxa"/>
            <w:tcBorders>
              <w:top w:val="dotted" w:sz="4" w:space="0" w:color="00000A"/>
              <w:left w:val="single" w:sz="4" w:space="0" w:color="00000A"/>
              <w:bottom w:val="single" w:sz="4" w:space="0" w:color="00000A"/>
              <w:right w:val="single" w:sz="4" w:space="0" w:color="00000A"/>
            </w:tcBorders>
            <w:shd w:val="clear" w:color="auto" w:fill="FFF2CC"/>
            <w:tcMar>
              <w:left w:w="93" w:type="dxa"/>
            </w:tcMar>
          </w:tcPr>
          <w:p w14:paraId="5F3D0D3A" w14:textId="323DFD81" w:rsidR="00226AFA" w:rsidRPr="004903EB" w:rsidRDefault="00865839" w:rsidP="00365FCB">
            <w:pPr>
              <w:pStyle w:val="NormlWeb"/>
              <w:shd w:val="clear" w:color="auto" w:fill="FFFFFF"/>
              <w:spacing w:before="0" w:after="0"/>
              <w:ind w:firstLine="709"/>
              <w:rPr>
                <w:sz w:val="22"/>
                <w:szCs w:val="22"/>
              </w:rPr>
            </w:pPr>
            <w:r w:rsidRPr="004903EB">
              <w:rPr>
                <w:sz w:val="22"/>
                <w:szCs w:val="22"/>
                <w:lang w:eastAsia="hu-HU"/>
              </w:rPr>
              <w:t>This specialization course has been designed to com</w:t>
            </w:r>
            <w:r w:rsidR="00365FCB">
              <w:rPr>
                <w:sz w:val="22"/>
                <w:szCs w:val="22"/>
                <w:lang w:eastAsia="hu-HU"/>
              </w:rPr>
              <w:t xml:space="preserve">plement the American literature, history and cultural </w:t>
            </w:r>
            <w:r w:rsidRPr="004903EB">
              <w:rPr>
                <w:sz w:val="22"/>
                <w:szCs w:val="22"/>
                <w:lang w:eastAsia="hu-HU"/>
              </w:rPr>
              <w:t xml:space="preserve">foundation courses by exploring how </w:t>
            </w:r>
            <w:r w:rsidR="00365FCB">
              <w:rPr>
                <w:sz w:val="22"/>
                <w:szCs w:val="22"/>
                <w:lang w:eastAsia="hu-HU"/>
              </w:rPr>
              <w:t>American movies</w:t>
            </w:r>
            <w:r w:rsidRPr="004903EB">
              <w:rPr>
                <w:sz w:val="22"/>
                <w:szCs w:val="22"/>
                <w:lang w:eastAsia="hu-HU"/>
              </w:rPr>
              <w:t xml:space="preserve">, especially those produced by the greatest American film industry, Hollywood, present cultural, social, and political issues that have preoccupied American writers in the past two centuries. The movies to be discussed reflect on </w:t>
            </w:r>
            <w:r w:rsidR="00365FCB">
              <w:rPr>
                <w:sz w:val="22"/>
                <w:szCs w:val="22"/>
                <w:lang w:eastAsia="hu-HU"/>
              </w:rPr>
              <w:t xml:space="preserve">current issues </w:t>
            </w:r>
            <w:r w:rsidRPr="004903EB">
              <w:rPr>
                <w:sz w:val="22"/>
                <w:szCs w:val="22"/>
                <w:lang w:eastAsia="hu-HU"/>
              </w:rPr>
              <w:t xml:space="preserve">that find unique ways of realization on screen. </w:t>
            </w:r>
            <w:r w:rsidRPr="004903EB">
              <w:rPr>
                <w:sz w:val="22"/>
                <w:szCs w:val="22"/>
              </w:rPr>
              <w:t xml:space="preserve">Students will be focusing on Hollywood </w:t>
            </w:r>
            <w:r w:rsidR="00365FCB">
              <w:rPr>
                <w:sz w:val="22"/>
                <w:szCs w:val="22"/>
              </w:rPr>
              <w:t xml:space="preserve">blockbusters </w:t>
            </w:r>
            <w:r w:rsidRPr="004903EB">
              <w:rPr>
                <w:sz w:val="22"/>
                <w:szCs w:val="22"/>
              </w:rPr>
              <w:t>as well as lesser known, but critically acclaimed films as well as certain episodes of</w:t>
            </w:r>
            <w:r w:rsidR="00365FCB">
              <w:rPr>
                <w:sz w:val="22"/>
                <w:szCs w:val="22"/>
              </w:rPr>
              <w:t xml:space="preserve"> TV shows that highlight themes</w:t>
            </w:r>
            <w:r w:rsidRPr="004903EB">
              <w:rPr>
                <w:sz w:val="22"/>
                <w:szCs w:val="22"/>
              </w:rPr>
              <w:t xml:space="preserve"> such as social injustic</w:t>
            </w:r>
            <w:r w:rsidR="00365FCB">
              <w:rPr>
                <w:sz w:val="22"/>
                <w:szCs w:val="22"/>
              </w:rPr>
              <w:t xml:space="preserve">es, racial and ethnic conflicts, </w:t>
            </w:r>
            <w:r w:rsidRPr="004903EB">
              <w:rPr>
                <w:sz w:val="22"/>
                <w:szCs w:val="22"/>
              </w:rPr>
              <w:t>politics</w:t>
            </w:r>
            <w:r w:rsidR="00365FCB">
              <w:rPr>
                <w:sz w:val="22"/>
                <w:szCs w:val="22"/>
              </w:rPr>
              <w:t xml:space="preserve"> and the media</w:t>
            </w:r>
            <w:r w:rsidRPr="004903EB">
              <w:rPr>
                <w:sz w:val="22"/>
                <w:szCs w:val="22"/>
              </w:rPr>
              <w:t xml:space="preserve">, immigration, alienation and art, feminism, New World Garden and technology, and the American Dream. </w:t>
            </w:r>
          </w:p>
        </w:tc>
      </w:tr>
      <w:tr w:rsidR="00226AFA" w14:paraId="1E2246A1" w14:textId="77777777">
        <w:tc>
          <w:tcPr>
            <w:tcW w:w="9497" w:type="dxa"/>
            <w:tcBorders>
              <w:top w:val="single" w:sz="4" w:space="0" w:color="00000A"/>
              <w:left w:val="single" w:sz="4" w:space="0" w:color="00000A"/>
              <w:bottom w:val="dotted" w:sz="4" w:space="0" w:color="00000A"/>
              <w:right w:val="single" w:sz="4" w:space="0" w:color="00000A"/>
            </w:tcBorders>
            <w:shd w:val="clear" w:color="auto" w:fill="auto"/>
            <w:tcMar>
              <w:left w:w="93" w:type="dxa"/>
            </w:tcMar>
            <w:vAlign w:val="center"/>
          </w:tcPr>
          <w:p w14:paraId="3576803C" w14:textId="77777777" w:rsidR="00226AFA" w:rsidRDefault="00865839">
            <w:pPr>
              <w:ind w:right="-108"/>
              <w:rPr>
                <w:sz w:val="22"/>
                <w:szCs w:val="22"/>
              </w:rPr>
            </w:pPr>
            <w:r>
              <w:rPr>
                <w:sz w:val="22"/>
              </w:rPr>
              <w:t xml:space="preserve">List of the most important 2–5 pieces of </w:t>
            </w:r>
            <w:r>
              <w:rPr>
                <w:i/>
                <w:sz w:val="22"/>
              </w:rPr>
              <w:t>required</w:t>
            </w:r>
            <w:r>
              <w:rPr>
                <w:sz w:val="22"/>
              </w:rPr>
              <w:t xml:space="preserve"> and </w:t>
            </w:r>
            <w:r>
              <w:rPr>
                <w:i/>
                <w:sz w:val="22"/>
              </w:rPr>
              <w:t xml:space="preserve">recommended </w:t>
            </w:r>
            <w:r>
              <w:rPr>
                <w:sz w:val="22"/>
              </w:rPr>
              <w:t>literature (lecture notes, handbooks) with bibliographical details (author, title, edition information (or specific pages), ISBN)</w:t>
            </w:r>
          </w:p>
        </w:tc>
      </w:tr>
      <w:tr w:rsidR="00226AFA" w14:paraId="75E0A5D3" w14:textId="77777777">
        <w:trPr>
          <w:trHeight w:val="1186"/>
        </w:trPr>
        <w:tc>
          <w:tcPr>
            <w:tcW w:w="9497" w:type="dxa"/>
            <w:tcBorders>
              <w:top w:val="dotted" w:sz="4" w:space="0" w:color="00000A"/>
              <w:left w:val="single" w:sz="4" w:space="0" w:color="00000A"/>
              <w:bottom w:val="dotted" w:sz="4" w:space="0" w:color="00000A"/>
              <w:right w:val="single" w:sz="4" w:space="0" w:color="00000A"/>
            </w:tcBorders>
            <w:shd w:val="clear" w:color="auto" w:fill="FFF2CC"/>
            <w:tcMar>
              <w:left w:w="93" w:type="dxa"/>
            </w:tcMar>
            <w:vAlign w:val="center"/>
          </w:tcPr>
          <w:p w14:paraId="23FC573F" w14:textId="77777777" w:rsidR="00226AFA" w:rsidRPr="004903EB" w:rsidRDefault="00865839">
            <w:pPr>
              <w:pStyle w:val="Szvegtrzs1"/>
              <w:rPr>
                <w:bCs/>
                <w:sz w:val="22"/>
                <w:szCs w:val="22"/>
              </w:rPr>
            </w:pPr>
            <w:bookmarkStart w:id="0" w:name="__DdeLink__183_1519275316"/>
            <w:r w:rsidRPr="004903EB">
              <w:rPr>
                <w:bCs/>
                <w:sz w:val="22"/>
                <w:szCs w:val="22"/>
              </w:rPr>
              <w:t>Required literature:</w:t>
            </w:r>
          </w:p>
          <w:p w14:paraId="22ABCDAD" w14:textId="77777777" w:rsidR="00226AFA" w:rsidRPr="004903EB" w:rsidRDefault="00865839">
            <w:pPr>
              <w:pStyle w:val="Szvegtrzs1"/>
              <w:numPr>
                <w:ilvl w:val="0"/>
                <w:numId w:val="2"/>
              </w:numPr>
            </w:pPr>
            <w:r w:rsidRPr="004903EB">
              <w:rPr>
                <w:bCs/>
                <w:i/>
                <w:iCs/>
                <w:sz w:val="22"/>
                <w:szCs w:val="22"/>
              </w:rPr>
              <w:t>A Political Companion to American Film</w:t>
            </w:r>
            <w:r w:rsidRPr="004903EB">
              <w:rPr>
                <w:bCs/>
                <w:sz w:val="22"/>
                <w:szCs w:val="22"/>
              </w:rPr>
              <w:t xml:space="preserve">. Ed. Gary Crowdus, Lakeview, 1994. </w:t>
            </w:r>
            <w:r w:rsidRPr="004903EB">
              <w:rPr>
                <w:bCs/>
                <w:color w:val="333333"/>
                <w:sz w:val="22"/>
                <w:szCs w:val="22"/>
              </w:rPr>
              <w:t>ISBN-10: 0941702421</w:t>
            </w:r>
          </w:p>
          <w:p w14:paraId="33FE2BC2" w14:textId="77777777" w:rsidR="00226AFA" w:rsidRPr="004903EB" w:rsidRDefault="00865839">
            <w:pPr>
              <w:pStyle w:val="Szvegtrzs1"/>
              <w:numPr>
                <w:ilvl w:val="0"/>
                <w:numId w:val="2"/>
              </w:numPr>
            </w:pPr>
            <w:r w:rsidRPr="004903EB">
              <w:rPr>
                <w:bCs/>
                <w:i/>
                <w:iCs/>
                <w:sz w:val="22"/>
                <w:szCs w:val="22"/>
              </w:rPr>
              <w:t>American Cinema and Hollywood: Critical Approaches</w:t>
            </w:r>
            <w:bookmarkStart w:id="1" w:name="bookEdition"/>
            <w:bookmarkEnd w:id="1"/>
            <w:r w:rsidRPr="004903EB">
              <w:rPr>
                <w:bCs/>
                <w:sz w:val="22"/>
                <w:szCs w:val="22"/>
              </w:rPr>
              <w:t xml:space="preserve">. Ed. John Hill, Pamela Church Gibson, Richard Dryer, E. Ann Kaplan, Paul Willemen. Oxford UP, 2000. </w:t>
            </w:r>
            <w:r w:rsidRPr="004903EB">
              <w:rPr>
                <w:bCs/>
                <w:color w:val="111111"/>
                <w:sz w:val="22"/>
                <w:szCs w:val="22"/>
              </w:rPr>
              <w:t>ISBN-13: 978-0198742814</w:t>
            </w:r>
          </w:p>
          <w:p w14:paraId="38E17703" w14:textId="77777777" w:rsidR="00226AFA" w:rsidRPr="004903EB" w:rsidRDefault="00865839">
            <w:pPr>
              <w:pStyle w:val="Szvegtrzs1"/>
            </w:pPr>
            <w:r w:rsidRPr="004903EB">
              <w:rPr>
                <w:bCs/>
                <w:color w:val="111111"/>
                <w:sz w:val="22"/>
                <w:szCs w:val="22"/>
              </w:rPr>
              <w:t>Recommended literature:</w:t>
            </w:r>
          </w:p>
          <w:p w14:paraId="3C9F7725" w14:textId="77777777" w:rsidR="00226AFA" w:rsidRPr="004903EB" w:rsidRDefault="00865839">
            <w:pPr>
              <w:pStyle w:val="Szvegtrzs1"/>
              <w:numPr>
                <w:ilvl w:val="0"/>
                <w:numId w:val="2"/>
              </w:numPr>
            </w:pPr>
            <w:r w:rsidRPr="004903EB">
              <w:rPr>
                <w:bCs/>
                <w:i/>
                <w:iCs/>
                <w:color w:val="111111"/>
                <w:sz w:val="22"/>
                <w:szCs w:val="22"/>
              </w:rPr>
              <w:t xml:space="preserve">Film Studies: </w:t>
            </w:r>
            <w:r w:rsidRPr="004903EB">
              <w:rPr>
                <w:bCs/>
                <w:i/>
                <w:iCs/>
                <w:sz w:val="22"/>
                <w:szCs w:val="22"/>
              </w:rPr>
              <w:t>Critical Approaches</w:t>
            </w:r>
            <w:bookmarkStart w:id="2" w:name="bookEdition2"/>
            <w:bookmarkEnd w:id="2"/>
            <w:r w:rsidRPr="004903EB">
              <w:rPr>
                <w:bCs/>
                <w:sz w:val="22"/>
                <w:szCs w:val="22"/>
              </w:rPr>
              <w:t xml:space="preserve">. Ed. John Hill, Pamela Church Gibson, Richard Dryer, E. Ann Kaplan, Paul Willemen. Oxford UP, 2000. </w:t>
            </w:r>
            <w:r w:rsidRPr="004903EB">
              <w:rPr>
                <w:bCs/>
                <w:color w:val="111111"/>
                <w:sz w:val="22"/>
                <w:szCs w:val="22"/>
              </w:rPr>
              <w:t xml:space="preserve">ISBN-13: 978-0198742807 </w:t>
            </w:r>
          </w:p>
          <w:p w14:paraId="4CAAA41A" w14:textId="77777777" w:rsidR="00226AFA" w:rsidRPr="004903EB" w:rsidRDefault="00865839">
            <w:pPr>
              <w:pStyle w:val="Szvegtrzs1"/>
              <w:numPr>
                <w:ilvl w:val="0"/>
                <w:numId w:val="2"/>
              </w:numPr>
            </w:pPr>
            <w:r w:rsidRPr="004903EB">
              <w:rPr>
                <w:bCs/>
                <w:i/>
                <w:iCs/>
                <w:color w:val="111111"/>
                <w:sz w:val="22"/>
                <w:szCs w:val="22"/>
              </w:rPr>
              <w:t>A Companion to Film Theory</w:t>
            </w:r>
            <w:r w:rsidRPr="004903EB">
              <w:rPr>
                <w:bCs/>
                <w:color w:val="111111"/>
                <w:sz w:val="22"/>
                <w:szCs w:val="22"/>
              </w:rPr>
              <w:t xml:space="preserve">. Ed. Toby Miller and Robert Stam. Wiley-Blackwell, 2003. </w:t>
            </w:r>
            <w:bookmarkEnd w:id="0"/>
            <w:r w:rsidRPr="004903EB">
              <w:rPr>
                <w:bCs/>
                <w:color w:val="111111"/>
                <w:sz w:val="22"/>
                <w:szCs w:val="22"/>
              </w:rPr>
              <w:t>ISBN: 978-0-631-20645-3</w:t>
            </w:r>
          </w:p>
          <w:p w14:paraId="4966553B" w14:textId="77777777" w:rsidR="00226AFA" w:rsidRPr="004903EB" w:rsidRDefault="00226AFA">
            <w:pPr>
              <w:rPr>
                <w:sz w:val="22"/>
                <w:szCs w:val="22"/>
              </w:rPr>
            </w:pPr>
          </w:p>
        </w:tc>
      </w:tr>
    </w:tbl>
    <w:p w14:paraId="669C187D" w14:textId="77777777" w:rsidR="00226AFA" w:rsidRDefault="00226AFA">
      <w:bookmarkStart w:id="3" w:name="_GoBack"/>
      <w:bookmarkEnd w:id="3"/>
    </w:p>
    <w:sectPr w:rsidR="00226AFA">
      <w:pgSz w:w="11906" w:h="16838"/>
      <w:pgMar w:top="993" w:right="1417" w:bottom="1417" w:left="1417"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4060B" w14:textId="77777777" w:rsidR="008C36C1" w:rsidRDefault="008C36C1">
      <w:r>
        <w:separator/>
      </w:r>
    </w:p>
  </w:endnote>
  <w:endnote w:type="continuationSeparator" w:id="0">
    <w:p w14:paraId="13BB3E15" w14:textId="77777777" w:rsidR="008C36C1" w:rsidRDefault="008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C21D" w14:textId="77777777" w:rsidR="008C36C1" w:rsidRDefault="008C36C1">
      <w:r>
        <w:separator/>
      </w:r>
    </w:p>
  </w:footnote>
  <w:footnote w:type="continuationSeparator" w:id="0">
    <w:p w14:paraId="06A8E888" w14:textId="77777777" w:rsidR="008C36C1" w:rsidRDefault="008C36C1">
      <w:r>
        <w:continuationSeparator/>
      </w:r>
    </w:p>
  </w:footnote>
  <w:footnote w:id="1">
    <w:p w14:paraId="59781641" w14:textId="77777777" w:rsidR="00865839" w:rsidRDefault="00865839">
      <w:pPr>
        <w:pStyle w:val="Lbjegyzet"/>
      </w:pPr>
      <w:r>
        <w:rPr>
          <w:rStyle w:val="Lbjegyzet-hivatkozs"/>
        </w:rPr>
        <w:footnoteRef/>
      </w:r>
      <w:r>
        <w:rPr>
          <w:rStyle w:val="Lbjegyzet-hivatkozs"/>
        </w:rPr>
        <w:tab/>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14:paraId="6EFA93E0" w14:textId="77777777" w:rsidR="00865839" w:rsidRDefault="00865839">
      <w:pPr>
        <w:pStyle w:val="Lbjegyzet"/>
      </w:pPr>
      <w:r>
        <w:rPr>
          <w:rStyle w:val="Lbjegyzet-hivatkozs"/>
          <w:b/>
        </w:rPr>
        <w:footnoteRef/>
      </w:r>
      <w:r>
        <w:rPr>
          <w:rStyle w:val="Lbjegyzet-hivatkozs"/>
          <w:b/>
        </w:rPr>
        <w:tab/>
      </w:r>
      <w:r>
        <w:t xml:space="preserve"> e.g. case discussions, role play, thematic presentations, etc.</w:t>
      </w:r>
    </w:p>
  </w:footnote>
  <w:footnote w:id="3">
    <w:p w14:paraId="1E07F788" w14:textId="77777777" w:rsidR="00865839" w:rsidRDefault="00865839">
      <w:pPr>
        <w:pStyle w:val="Lbjegyzet"/>
      </w:pPr>
      <w:r>
        <w:rPr>
          <w:rStyle w:val="Lbjegyzet-hivatkozs"/>
        </w:rPr>
        <w:footnoteRef/>
      </w:r>
      <w:r>
        <w:rPr>
          <w:rStyle w:val="Lbjegyzet-hivatkozs"/>
        </w:rPr>
        <w:tab/>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4AE"/>
    <w:multiLevelType w:val="multilevel"/>
    <w:tmpl w:val="50DC7B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AB2147"/>
    <w:multiLevelType w:val="multilevel"/>
    <w:tmpl w:val="A0CAF6A8"/>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 w15:restartNumberingAfterBreak="0">
    <w:nsid w:val="5FD950C6"/>
    <w:multiLevelType w:val="multilevel"/>
    <w:tmpl w:val="FEBE7F68"/>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FA"/>
    <w:rsid w:val="00226AFA"/>
    <w:rsid w:val="00365FCB"/>
    <w:rsid w:val="004903EB"/>
    <w:rsid w:val="00865839"/>
    <w:rsid w:val="008C36C1"/>
    <w:rsid w:val="00CF4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5490"/>
  <w15:docId w15:val="{36FD7CC2-A389-4741-9CB0-3C4CB1B5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uppressAutoHyphens/>
      <w:spacing w:line="240" w:lineRule="auto"/>
    </w:pPr>
    <w:rPr>
      <w:rFonts w:ascii="Times New Roman" w:eastAsia="Times New Roman" w:hAnsi="Times New Roman" w:cs="Times New Roman"/>
      <w:color w:val="00000A"/>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Cmsor"/>
    <w:pPr>
      <w:outlineLvl w:val="0"/>
    </w:pPr>
    <w:rPr>
      <w:rFonts w:ascii="Liberation Serif" w:eastAsia="SimSun" w:hAnsi="Liberation Serif"/>
      <w:b/>
      <w:bCs/>
      <w:sz w:val="48"/>
      <w:szCs w:val="48"/>
    </w:rPr>
  </w:style>
  <w:style w:type="character" w:styleId="Lbjegyzet-hivatkozs">
    <w:name w:val="footnote reference"/>
    <w:semiHidden/>
    <w:rsid w:val="006B6B2E"/>
    <w:rPr>
      <w:vertAlign w:val="superscript"/>
    </w:rPr>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Lbjegyzet-karakterek">
    <w:name w:val="Lábjegyzet-karakterek"/>
  </w:style>
  <w:style w:type="character" w:customStyle="1" w:styleId="Vgjegyzet-karakterek">
    <w:name w:val="Végjegyzet-karakterek"/>
  </w:style>
  <w:style w:type="paragraph" w:customStyle="1" w:styleId="Cmsor">
    <w:name w:val="Címsor"/>
    <w:basedOn w:val="Norml"/>
    <w:next w:val="Szvegtrzs1"/>
    <w:pPr>
      <w:keepNext/>
      <w:spacing w:before="240" w:after="120"/>
    </w:pPr>
    <w:rPr>
      <w:rFonts w:ascii="Liberation Sans" w:eastAsia="Microsoft YaHei" w:hAnsi="Liberation Sans" w:cs="Mangal"/>
      <w:sz w:val="28"/>
      <w:szCs w:val="28"/>
    </w:rPr>
  </w:style>
  <w:style w:type="paragraph" w:customStyle="1" w:styleId="Szvegtrzs1">
    <w:name w:val="Szövegtörzs1"/>
    <w:basedOn w:val="Norml"/>
    <w:pPr>
      <w:spacing w:after="140" w:line="288" w:lineRule="auto"/>
    </w:pPr>
  </w:style>
  <w:style w:type="paragraph" w:customStyle="1" w:styleId="Lista1">
    <w:name w:val="Lista1"/>
    <w:basedOn w:val="Szvegtrzs1"/>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bjegyzetszveg">
    <w:name w:val="footnote text"/>
    <w:basedOn w:val="Norml"/>
    <w:link w:val="LbjegyzetszvegChar"/>
    <w:semiHidden/>
    <w:rsid w:val="006B6B2E"/>
  </w:style>
  <w:style w:type="paragraph" w:styleId="Nincstrkz">
    <w:name w:val="No Spacing"/>
    <w:uiPriority w:val="1"/>
    <w:qFormat/>
    <w:rsid w:val="002938DC"/>
    <w:pPr>
      <w:suppressAutoHyphens/>
      <w:spacing w:line="240" w:lineRule="auto"/>
    </w:pPr>
    <w:rPr>
      <w:rFonts w:ascii="Times New Roman" w:eastAsia="Times New Roman" w:hAnsi="Times New Roman" w:cs="Times New Roman"/>
      <w:color w:val="00000A"/>
      <w:szCs w:val="20"/>
      <w:lang w:val="en-US" w:bidi="en-US"/>
    </w:rPr>
  </w:style>
  <w:style w:type="paragraph" w:styleId="NormlWeb">
    <w:name w:val="Normal (Web)"/>
    <w:basedOn w:val="Norml"/>
    <w:uiPriority w:val="99"/>
    <w:unhideWhenUsed/>
    <w:rsid w:val="00482307"/>
    <w:pPr>
      <w:spacing w:before="280" w:after="280"/>
    </w:pPr>
    <w:rPr>
      <w:sz w:val="24"/>
      <w:szCs w:val="24"/>
      <w:lang w:bidi="ar-SA"/>
    </w:rPr>
  </w:style>
  <w:style w:type="paragraph" w:styleId="Listaszerbekezds">
    <w:name w:val="List Paragraph"/>
    <w:basedOn w:val="Norml"/>
    <w:uiPriority w:val="34"/>
    <w:qFormat/>
    <w:rsid w:val="00737AD2"/>
    <w:pPr>
      <w:ind w:left="720"/>
      <w:contextualSpacing/>
    </w:pPr>
  </w:style>
  <w:style w:type="paragraph" w:customStyle="1" w:styleId="Lbjegyzet">
    <w:name w:val="Lábjegyzet"/>
    <w:basedOn w:val="Norm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7357</TotalTime>
  <Pages>1</Pages>
  <Words>314</Words>
  <Characters>2167</Characters>
  <Application>Microsoft Office Word</Application>
  <DocSecurity>0</DocSecurity>
  <Lines>18</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18</cp:revision>
  <dcterms:created xsi:type="dcterms:W3CDTF">2017-01-13T23:53:00Z</dcterms:created>
  <dcterms:modified xsi:type="dcterms:W3CDTF">2018-08-31T21:16:00Z</dcterms:modified>
  <dc:language>hu-HU</dc:language>
</cp:coreProperties>
</file>