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28A79" w14:textId="77777777" w:rsidR="00B2620E" w:rsidRPr="001B4821" w:rsidRDefault="00B2620E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BE17C0" w:rsidRPr="00BE16DC" w14:paraId="41EDBC9B" w14:textId="77777777" w:rsidTr="00D72191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57194D" w14:textId="77777777" w:rsidR="00B2620E" w:rsidRPr="0000385F" w:rsidRDefault="00B2620E" w:rsidP="00D72191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BE17C0">
              <w:rPr>
                <w:b/>
                <w:sz w:val="22"/>
                <w:szCs w:val="22"/>
                <w:highlight w:val="yellow"/>
              </w:rPr>
              <w:t>Az amerika</w:t>
            </w:r>
            <w:r w:rsidR="00D868D6">
              <w:rPr>
                <w:b/>
                <w:sz w:val="22"/>
                <w:szCs w:val="22"/>
                <w:highlight w:val="yellow"/>
              </w:rPr>
              <w:t>i irodalom műfaji megközelítése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72748C" w14:textId="77777777"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Kreditértéke: </w:t>
            </w:r>
            <w:r w:rsidR="003F553E">
              <w:rPr>
                <w:b/>
                <w:sz w:val="22"/>
                <w:szCs w:val="22"/>
                <w:highlight w:val="yellow"/>
              </w:rPr>
              <w:t>4</w:t>
            </w:r>
          </w:p>
        </w:tc>
      </w:tr>
      <w:tr w:rsidR="00B2620E" w:rsidRPr="00BE16DC" w14:paraId="5E3E4791" w14:textId="77777777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69646B" w14:textId="77777777" w:rsidR="00B2620E" w:rsidRPr="00BE16DC" w:rsidRDefault="00B2620E" w:rsidP="003F553E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Pr="00BE17C0">
              <w:rPr>
                <w:b/>
                <w:sz w:val="22"/>
                <w:szCs w:val="22"/>
                <w:highlight w:val="yellow"/>
                <w:u w:val="single"/>
              </w:rPr>
              <w:t>választható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</w:p>
        </w:tc>
      </w:tr>
      <w:tr w:rsidR="00B2620E" w:rsidRPr="00E73D28" w14:paraId="0EBEF12D" w14:textId="77777777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4C78B2" w14:textId="46C09907" w:rsidR="00B2620E" w:rsidRPr="0000385F" w:rsidRDefault="00B2620E" w:rsidP="004F3500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sz w:val="22"/>
                <w:szCs w:val="22"/>
              </w:rPr>
              <w:t xml:space="preserve">: </w:t>
            </w:r>
            <w:r w:rsidR="003F553E">
              <w:rPr>
                <w:b/>
                <w:sz w:val="22"/>
                <w:szCs w:val="22"/>
                <w:highlight w:val="yellow"/>
              </w:rPr>
              <w:t>gyakorlati 100%</w:t>
            </w:r>
            <w:r w:rsidRPr="00B81583">
              <w:rPr>
                <w:b/>
                <w:sz w:val="22"/>
                <w:szCs w:val="22"/>
              </w:rPr>
              <w:t xml:space="preserve">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B2620E" w:rsidRPr="00BE16DC" w14:paraId="0E2522C6" w14:textId="77777777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36FAC7" w14:textId="090C1782"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 típusa</w:t>
            </w:r>
            <w:r w:rsidRPr="00BE16DC">
              <w:rPr>
                <w:sz w:val="22"/>
                <w:szCs w:val="22"/>
              </w:rPr>
              <w:t xml:space="preserve">: </w:t>
            </w:r>
            <w:r w:rsidRPr="00BE16DC">
              <w:rPr>
                <w:sz w:val="22"/>
                <w:szCs w:val="22"/>
                <w:highlight w:val="yellow"/>
              </w:rPr>
              <w:t xml:space="preserve">szem.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 xml:space="preserve">: </w:t>
            </w:r>
            <w:r w:rsidR="003F553E">
              <w:rPr>
                <w:b/>
                <w:sz w:val="22"/>
                <w:szCs w:val="22"/>
                <w:highlight w:val="yellow"/>
              </w:rPr>
              <w:t>26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14:paraId="2E3F7D4F" w14:textId="77777777"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BE17C0">
              <w:rPr>
                <w:b/>
                <w:sz w:val="22"/>
                <w:szCs w:val="22"/>
              </w:rPr>
              <w:t>:</w:t>
            </w:r>
            <w:r w:rsidRPr="00BE17C0">
              <w:rPr>
                <w:b/>
                <w:i/>
                <w:sz w:val="22"/>
                <w:szCs w:val="22"/>
              </w:rPr>
              <w:t xml:space="preserve"> </w:t>
            </w:r>
            <w:r w:rsidR="00BE17C0" w:rsidRPr="00BE17C0">
              <w:rPr>
                <w:b/>
                <w:i/>
                <w:sz w:val="22"/>
                <w:szCs w:val="22"/>
              </w:rPr>
              <w:t>angol</w:t>
            </w:r>
            <w:r w:rsidRPr="0000385F">
              <w:rPr>
                <w:i/>
                <w:sz w:val="22"/>
                <w:szCs w:val="22"/>
              </w:rPr>
              <w:t>)</w:t>
            </w:r>
          </w:p>
          <w:p w14:paraId="54B71172" w14:textId="546D8820" w:rsidR="00B2620E" w:rsidRPr="0000385F" w:rsidRDefault="00B2620E" w:rsidP="004F3500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B2620E" w:rsidRPr="00BE16DC" w14:paraId="0F7BD283" w14:textId="77777777" w:rsidTr="00D7219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B3D009" w14:textId="2FEE8E93"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 xml:space="preserve">módja (koll. / gyj. / </w:t>
            </w:r>
            <w:r w:rsidRPr="0000385F">
              <w:rPr>
                <w:b/>
                <w:sz w:val="22"/>
                <w:szCs w:val="22"/>
              </w:rPr>
              <w:t>egyéb</w:t>
            </w:r>
            <w:r w:rsidRPr="0000385F">
              <w:rPr>
                <w:sz w:val="22"/>
                <w:szCs w:val="22"/>
              </w:rPr>
              <w:t xml:space="preserve">): </w:t>
            </w:r>
            <w:r w:rsidR="00BE17C0">
              <w:rPr>
                <w:b/>
                <w:sz w:val="22"/>
                <w:szCs w:val="22"/>
                <w:highlight w:val="yellow"/>
              </w:rPr>
              <w:t>gyakorlati jegy</w:t>
            </w:r>
          </w:p>
          <w:p w14:paraId="2A40B566" w14:textId="6DE067A7" w:rsidR="00B2620E" w:rsidRPr="00C2259B" w:rsidRDefault="00B2620E" w:rsidP="004F3500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bookmarkStart w:id="0" w:name="_GoBack"/>
            <w:bookmarkEnd w:id="0"/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>
              <w:rPr>
                <w:color w:val="333399"/>
                <w:sz w:val="22"/>
                <w:szCs w:val="22"/>
                <w:highlight w:val="yellow"/>
              </w:rPr>
              <w:t>……………………</w:t>
            </w:r>
            <w:r w:rsidRPr="00C2259B">
              <w:rPr>
                <w:color w:val="333399"/>
                <w:sz w:val="22"/>
                <w:szCs w:val="22"/>
                <w:highlight w:val="yellow"/>
              </w:rPr>
              <w:t>..</w:t>
            </w:r>
          </w:p>
        </w:tc>
      </w:tr>
      <w:tr w:rsidR="00B2620E" w:rsidRPr="00BE16DC" w14:paraId="0665960B" w14:textId="77777777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47B7DF" w14:textId="77777777" w:rsidR="00B2620E" w:rsidRPr="00BE16DC" w:rsidRDefault="00B2620E" w:rsidP="00D72191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3F553E">
              <w:rPr>
                <w:b/>
                <w:sz w:val="22"/>
                <w:szCs w:val="22"/>
                <w:highlight w:val="yellow"/>
              </w:rPr>
              <w:t>5.</w:t>
            </w:r>
          </w:p>
        </w:tc>
      </w:tr>
      <w:tr w:rsidR="00B2620E" w:rsidRPr="00BE16DC" w14:paraId="0287520D" w14:textId="77777777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39E809" w14:textId="77777777" w:rsidR="00B2620E" w:rsidRPr="00BE16DC" w:rsidRDefault="00B2620E" w:rsidP="003F553E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r w:rsidR="003F553E">
              <w:rPr>
                <w:b/>
                <w:sz w:val="22"/>
                <w:szCs w:val="22"/>
                <w:highlight w:val="yellow"/>
              </w:rPr>
              <w:t>BBNAN00900</w:t>
            </w:r>
          </w:p>
        </w:tc>
      </w:tr>
    </w:tbl>
    <w:p w14:paraId="1C6379B8" w14:textId="77777777"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B2620E" w:rsidRPr="00BE16DC" w14:paraId="772B1E52" w14:textId="77777777" w:rsidTr="004F3500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414CC6" w14:textId="77777777" w:rsidR="00B2620E" w:rsidRPr="00BE16DC" w:rsidRDefault="00022EC1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B2620E" w:rsidRPr="00BE16DC" w14:paraId="78F47A93" w14:textId="77777777" w:rsidTr="004F3500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4C371A30" w14:textId="77777777" w:rsidR="00B2620E" w:rsidRPr="003F553E" w:rsidRDefault="00A92DCD" w:rsidP="003F553E">
            <w:pPr>
              <w:ind w:left="34"/>
              <w:rPr>
                <w:sz w:val="24"/>
                <w:szCs w:val="24"/>
              </w:rPr>
            </w:pPr>
            <w:r w:rsidRPr="003F553E">
              <w:rPr>
                <w:sz w:val="24"/>
                <w:szCs w:val="24"/>
              </w:rPr>
              <w:t>A</w:t>
            </w:r>
            <w:r w:rsidR="003F553E">
              <w:rPr>
                <w:sz w:val="24"/>
                <w:szCs w:val="24"/>
              </w:rPr>
              <w:t>z amerikanisztikai</w:t>
            </w:r>
            <w:r w:rsidRPr="003F553E">
              <w:rPr>
                <w:sz w:val="24"/>
                <w:szCs w:val="24"/>
              </w:rPr>
              <w:t xml:space="preserve"> </w:t>
            </w:r>
            <w:r w:rsidR="003F553E">
              <w:rPr>
                <w:sz w:val="24"/>
                <w:szCs w:val="24"/>
              </w:rPr>
              <w:t xml:space="preserve">fakultatív modul </w:t>
            </w:r>
            <w:r w:rsidRPr="003F553E">
              <w:rPr>
                <w:sz w:val="24"/>
                <w:szCs w:val="24"/>
              </w:rPr>
              <w:t>tárgy</w:t>
            </w:r>
            <w:r w:rsidR="003F553E">
              <w:rPr>
                <w:sz w:val="24"/>
                <w:szCs w:val="24"/>
              </w:rPr>
              <w:t>a</w:t>
            </w:r>
            <w:r w:rsidRPr="003F553E">
              <w:rPr>
                <w:sz w:val="24"/>
                <w:szCs w:val="24"/>
              </w:rPr>
              <w:t xml:space="preserve"> az alapozó ameri</w:t>
            </w:r>
            <w:r w:rsidR="007C193F" w:rsidRPr="003F553E">
              <w:rPr>
                <w:sz w:val="24"/>
                <w:szCs w:val="24"/>
              </w:rPr>
              <w:t>kai kurzusokra épül.</w:t>
            </w:r>
            <w:r w:rsidR="00D868D6" w:rsidRPr="003F553E">
              <w:rPr>
                <w:sz w:val="24"/>
                <w:szCs w:val="24"/>
              </w:rPr>
              <w:t xml:space="preserve"> </w:t>
            </w:r>
            <w:r w:rsidR="007C193F" w:rsidRPr="003F553E">
              <w:rPr>
                <w:sz w:val="24"/>
                <w:szCs w:val="24"/>
              </w:rPr>
              <w:t>A tantárgy cé</w:t>
            </w:r>
            <w:r w:rsidR="003F553E">
              <w:rPr>
                <w:sz w:val="24"/>
                <w:szCs w:val="24"/>
              </w:rPr>
              <w:t>lja az azonos műfajú irodalmi mű</w:t>
            </w:r>
            <w:r w:rsidR="007C193F" w:rsidRPr="003F553E">
              <w:rPr>
                <w:sz w:val="24"/>
                <w:szCs w:val="24"/>
              </w:rPr>
              <w:t xml:space="preserve">vek elemzése, keletkezésük körülményeinek feltárása egy adott korszakban, valamint annak a kérdésnek a megválaszolása, hogy miképpen jelennek meg visszatérő </w:t>
            </w:r>
            <w:r w:rsidR="00D868D6" w:rsidRPr="003F553E">
              <w:rPr>
                <w:sz w:val="24"/>
                <w:szCs w:val="24"/>
              </w:rPr>
              <w:t>társadalmi és kulturális</w:t>
            </w:r>
            <w:r w:rsidR="000B35BA" w:rsidRPr="003F553E">
              <w:rPr>
                <w:sz w:val="24"/>
                <w:szCs w:val="24"/>
              </w:rPr>
              <w:t xml:space="preserve"> </w:t>
            </w:r>
            <w:r w:rsidR="007C193F" w:rsidRPr="003F553E">
              <w:rPr>
                <w:sz w:val="24"/>
                <w:szCs w:val="24"/>
              </w:rPr>
              <w:t>pr</w:t>
            </w:r>
            <w:r w:rsidR="00D868D6" w:rsidRPr="003F553E">
              <w:rPr>
                <w:sz w:val="24"/>
                <w:szCs w:val="24"/>
              </w:rPr>
              <w:t>oblémá</w:t>
            </w:r>
            <w:r w:rsidR="007C193F" w:rsidRPr="003F553E">
              <w:rPr>
                <w:sz w:val="24"/>
                <w:szCs w:val="24"/>
              </w:rPr>
              <w:t>k az adott műfajon belül.</w:t>
            </w:r>
            <w:r w:rsidR="00D868D6" w:rsidRPr="003F553E">
              <w:rPr>
                <w:sz w:val="24"/>
                <w:szCs w:val="24"/>
              </w:rPr>
              <w:t xml:space="preserve"> K</w:t>
            </w:r>
            <w:r w:rsidR="007C193F" w:rsidRPr="003F553E">
              <w:rPr>
                <w:sz w:val="24"/>
                <w:szCs w:val="24"/>
              </w:rPr>
              <w:t>lasszikus amerikai prózaírók</w:t>
            </w:r>
            <w:r w:rsidR="003F553E">
              <w:rPr>
                <w:sz w:val="24"/>
                <w:szCs w:val="24"/>
              </w:rPr>
              <w:t>,</w:t>
            </w:r>
            <w:r w:rsidR="000B35BA" w:rsidRPr="003F553E">
              <w:rPr>
                <w:sz w:val="24"/>
                <w:szCs w:val="24"/>
              </w:rPr>
              <w:t xml:space="preserve"> kö</w:t>
            </w:r>
            <w:r w:rsidR="00D868D6" w:rsidRPr="003F553E">
              <w:rPr>
                <w:sz w:val="24"/>
                <w:szCs w:val="24"/>
              </w:rPr>
              <w:t>ltők,</w:t>
            </w:r>
            <w:r w:rsidR="007C193F" w:rsidRPr="003F553E">
              <w:rPr>
                <w:sz w:val="24"/>
                <w:szCs w:val="24"/>
              </w:rPr>
              <w:t xml:space="preserve"> </w:t>
            </w:r>
            <w:r w:rsidR="00D868D6" w:rsidRPr="003F553E">
              <w:rPr>
                <w:sz w:val="24"/>
                <w:szCs w:val="24"/>
              </w:rPr>
              <w:t xml:space="preserve">vagy </w:t>
            </w:r>
            <w:r w:rsidR="007C193F" w:rsidRPr="003F553E">
              <w:rPr>
                <w:sz w:val="24"/>
                <w:szCs w:val="24"/>
              </w:rPr>
              <w:t>drámaírók művei kerülnek elemzésre</w:t>
            </w:r>
            <w:r w:rsidR="000B35BA" w:rsidRPr="003F553E">
              <w:rPr>
                <w:sz w:val="24"/>
                <w:szCs w:val="24"/>
              </w:rPr>
              <w:t xml:space="preserve"> a félév során</w:t>
            </w:r>
            <w:r w:rsidR="007C193F" w:rsidRPr="003F553E">
              <w:rPr>
                <w:sz w:val="24"/>
                <w:szCs w:val="24"/>
              </w:rPr>
              <w:t>.</w:t>
            </w:r>
            <w:r w:rsidR="000C1782" w:rsidRPr="003F553E">
              <w:rPr>
                <w:sz w:val="24"/>
                <w:szCs w:val="24"/>
              </w:rPr>
              <w:t xml:space="preserve"> </w:t>
            </w:r>
            <w:r w:rsidR="007C193F" w:rsidRPr="003F553E">
              <w:rPr>
                <w:sz w:val="24"/>
                <w:szCs w:val="24"/>
              </w:rPr>
              <w:t>A kiválasztott művek illusztrálják</w:t>
            </w:r>
            <w:r w:rsidR="000B35BA" w:rsidRPr="003F553E">
              <w:rPr>
                <w:sz w:val="24"/>
                <w:szCs w:val="24"/>
              </w:rPr>
              <w:t xml:space="preserve"> azokat a fontos társadalmi és kulturális problémákat,</w:t>
            </w:r>
            <w:r w:rsidR="00D868D6" w:rsidRPr="003F553E">
              <w:rPr>
                <w:sz w:val="24"/>
                <w:szCs w:val="24"/>
              </w:rPr>
              <w:t xml:space="preserve"> </w:t>
            </w:r>
            <w:r w:rsidR="000B35BA" w:rsidRPr="003F553E">
              <w:rPr>
                <w:sz w:val="24"/>
                <w:szCs w:val="24"/>
              </w:rPr>
              <w:t>amelyek kétszáz éven keresztül foglalkoztatták az amerikai írókat</w:t>
            </w:r>
            <w:r w:rsidR="0046502D" w:rsidRPr="003F553E">
              <w:rPr>
                <w:sz w:val="24"/>
                <w:szCs w:val="24"/>
              </w:rPr>
              <w:t>.</w:t>
            </w:r>
            <w:r w:rsidR="000B35BA" w:rsidRPr="003F553E">
              <w:rPr>
                <w:sz w:val="24"/>
                <w:szCs w:val="24"/>
              </w:rPr>
              <w:t xml:space="preserve"> </w:t>
            </w:r>
            <w:r w:rsidR="0046502D" w:rsidRPr="003F553E">
              <w:rPr>
                <w:sz w:val="24"/>
                <w:szCs w:val="24"/>
              </w:rPr>
              <w:t>A</w:t>
            </w:r>
            <w:r w:rsidR="00D868D6" w:rsidRPr="003F553E">
              <w:rPr>
                <w:sz w:val="24"/>
                <w:szCs w:val="24"/>
              </w:rPr>
              <w:t xml:space="preserve">z </w:t>
            </w:r>
            <w:r w:rsidR="0046502D" w:rsidRPr="003F553E">
              <w:rPr>
                <w:sz w:val="24"/>
                <w:szCs w:val="24"/>
              </w:rPr>
              <w:t>amerikai irodalomban érvényesülő</w:t>
            </w:r>
            <w:r w:rsidR="000B35BA" w:rsidRPr="003F553E">
              <w:rPr>
                <w:sz w:val="24"/>
                <w:szCs w:val="24"/>
              </w:rPr>
              <w:t xml:space="preserve"> különböző stílusirányzatok (realizmus, modernizmus, posztmodernizmus, minimalizmus)</w:t>
            </w:r>
            <w:r w:rsidR="0046502D" w:rsidRPr="003F553E">
              <w:rPr>
                <w:sz w:val="24"/>
                <w:szCs w:val="24"/>
              </w:rPr>
              <w:t xml:space="preserve"> is </w:t>
            </w:r>
            <w:r w:rsidR="00A373DE" w:rsidRPr="003F553E">
              <w:rPr>
                <w:sz w:val="24"/>
                <w:szCs w:val="24"/>
              </w:rPr>
              <w:t>a vizsgálat tárgyát képezik.</w:t>
            </w:r>
            <w:r w:rsidR="00D868D6" w:rsidRPr="003F553E">
              <w:rPr>
                <w:sz w:val="24"/>
                <w:szCs w:val="24"/>
              </w:rPr>
              <w:t xml:space="preserve"> Többek között a</w:t>
            </w:r>
            <w:r w:rsidR="000B35BA" w:rsidRPr="003F553E">
              <w:rPr>
                <w:sz w:val="24"/>
                <w:szCs w:val="24"/>
              </w:rPr>
              <w:t xml:space="preserve"> következő szerzők művei</w:t>
            </w:r>
            <w:r w:rsidRPr="003F553E">
              <w:rPr>
                <w:sz w:val="24"/>
                <w:szCs w:val="24"/>
              </w:rPr>
              <w:t xml:space="preserve"> </w:t>
            </w:r>
            <w:r w:rsidR="0046502D" w:rsidRPr="003F553E">
              <w:rPr>
                <w:sz w:val="24"/>
                <w:szCs w:val="24"/>
              </w:rPr>
              <w:t xml:space="preserve">kerülnek </w:t>
            </w:r>
            <w:r w:rsidR="00A373DE" w:rsidRPr="003F553E">
              <w:rPr>
                <w:sz w:val="24"/>
                <w:szCs w:val="24"/>
              </w:rPr>
              <w:t>elemzésre:</w:t>
            </w:r>
            <w:r w:rsidR="00D868D6" w:rsidRPr="003F553E">
              <w:rPr>
                <w:sz w:val="24"/>
                <w:szCs w:val="24"/>
              </w:rPr>
              <w:t xml:space="preserve"> </w:t>
            </w:r>
            <w:r w:rsidRPr="003F553E">
              <w:rPr>
                <w:sz w:val="24"/>
                <w:szCs w:val="24"/>
              </w:rPr>
              <w:t>Nathaniel Hawthorne, Henry James, F. Scott Fitzgerald, Ezra Pound, William Carlos Williams, Robert Frost, Eugene O’Neill, Tennessee Williams, J. D. Salinger, Vladimir Nabokov, Raymond Carver, Philip Roth, T</w:t>
            </w:r>
            <w:r w:rsidR="00A373DE" w:rsidRPr="003F553E">
              <w:rPr>
                <w:sz w:val="24"/>
                <w:szCs w:val="24"/>
              </w:rPr>
              <w:t>homas Pynchon, Sam Shephard, és</w:t>
            </w:r>
            <w:r w:rsidRPr="003F553E">
              <w:rPr>
                <w:sz w:val="24"/>
                <w:szCs w:val="24"/>
              </w:rPr>
              <w:t xml:space="preserve"> Jonathan Franzen.</w:t>
            </w:r>
          </w:p>
        </w:tc>
      </w:tr>
      <w:tr w:rsidR="00B2620E" w:rsidRPr="00BE16DC" w14:paraId="275A70B5" w14:textId="77777777" w:rsidTr="004F3500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0F631F" w14:textId="77777777" w:rsidR="00B2620E" w:rsidRPr="00C74FD2" w:rsidRDefault="00B2620E" w:rsidP="00022EC1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</w:t>
            </w:r>
            <w:r w:rsidR="00022EC1">
              <w:rPr>
                <w:b/>
                <w:sz w:val="22"/>
                <w:szCs w:val="22"/>
              </w:rPr>
              <w:t>–</w:t>
            </w:r>
            <w:r w:rsidRPr="00BE16DC">
              <w:rPr>
                <w:b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2620E" w:rsidRPr="00BE16DC" w14:paraId="7635ED23" w14:textId="77777777" w:rsidTr="004F3500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  <w:vAlign w:val="center"/>
          </w:tcPr>
          <w:p w14:paraId="53A29E6E" w14:textId="77777777" w:rsidR="007A0CE1" w:rsidRPr="003F553E" w:rsidRDefault="003F553E" w:rsidP="007A0CE1">
            <w:pPr>
              <w:pStyle w:val="Listaszerbekezds"/>
              <w:suppressAutoHyphens/>
              <w:ind w:left="39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Kötelező irodalom</w:t>
            </w:r>
            <w:r w:rsidR="007A0CE1" w:rsidRPr="003F553E">
              <w:rPr>
                <w:bCs/>
                <w:sz w:val="22"/>
                <w:szCs w:val="22"/>
              </w:rPr>
              <w:t>:</w:t>
            </w:r>
          </w:p>
          <w:p w14:paraId="20A4B12A" w14:textId="77777777" w:rsidR="007A0CE1" w:rsidRPr="003F553E" w:rsidRDefault="007A0CE1" w:rsidP="007A0CE1">
            <w:pPr>
              <w:pStyle w:val="Listaszerbekezds"/>
              <w:numPr>
                <w:ilvl w:val="0"/>
                <w:numId w:val="2"/>
              </w:numPr>
              <w:suppressAutoHyphens/>
              <w:rPr>
                <w:bCs/>
                <w:sz w:val="22"/>
                <w:szCs w:val="22"/>
              </w:rPr>
            </w:pPr>
            <w:r w:rsidRPr="003F553E">
              <w:rPr>
                <w:i/>
                <w:sz w:val="22"/>
                <w:szCs w:val="22"/>
              </w:rPr>
              <w:t>The Norton Anthology of American Literature.</w:t>
            </w:r>
            <w:r w:rsidRPr="003F553E">
              <w:rPr>
                <w:sz w:val="22"/>
                <w:szCs w:val="22"/>
              </w:rPr>
              <w:t xml:space="preserve"> </w:t>
            </w:r>
            <w:r w:rsidR="00E37E3A" w:rsidRPr="003F553E">
              <w:rPr>
                <w:sz w:val="22"/>
                <w:szCs w:val="22"/>
              </w:rPr>
              <w:t xml:space="preserve">Ed. Nina Baym et al. </w:t>
            </w:r>
            <w:r w:rsidRPr="003F553E">
              <w:rPr>
                <w:sz w:val="22"/>
                <w:szCs w:val="22"/>
              </w:rPr>
              <w:t>Vol. 1 and 2. Eighth edition.</w:t>
            </w:r>
            <w:r w:rsidRPr="003F553E">
              <w:rPr>
                <w:bCs/>
                <w:sz w:val="22"/>
                <w:szCs w:val="22"/>
              </w:rPr>
              <w:t xml:space="preserve"> WW. Norton and Company, 2012.</w:t>
            </w:r>
          </w:p>
          <w:p w14:paraId="692D4B82" w14:textId="77777777" w:rsidR="007A0CE1" w:rsidRPr="003F553E" w:rsidRDefault="007A0CE1" w:rsidP="007A0CE1">
            <w:pPr>
              <w:suppressAutoHyphens/>
              <w:ind w:left="346"/>
              <w:rPr>
                <w:sz w:val="22"/>
                <w:szCs w:val="22"/>
              </w:rPr>
            </w:pPr>
            <w:r w:rsidRPr="003F553E">
              <w:rPr>
                <w:bCs/>
                <w:sz w:val="22"/>
                <w:szCs w:val="22"/>
              </w:rPr>
              <w:t>ISBN-13:</w:t>
            </w:r>
            <w:r w:rsidRPr="003F553E">
              <w:rPr>
                <w:sz w:val="22"/>
                <w:szCs w:val="22"/>
              </w:rPr>
              <w:t xml:space="preserve"> 978-0393918878.</w:t>
            </w:r>
          </w:p>
          <w:p w14:paraId="09B69D5C" w14:textId="77777777" w:rsidR="007A0CE1" w:rsidRPr="003F553E" w:rsidRDefault="007A0CE1" w:rsidP="007A0CE1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3F553E">
              <w:rPr>
                <w:i/>
                <w:sz w:val="22"/>
                <w:szCs w:val="22"/>
              </w:rPr>
              <w:t>The Cambridge History of American Poetry</w:t>
            </w:r>
            <w:r w:rsidRPr="003F553E">
              <w:rPr>
                <w:sz w:val="22"/>
                <w:szCs w:val="22"/>
              </w:rPr>
              <w:t>. Ed. Alfred Bendixen and Stephen Burt. Cambridge UP, 2014.</w:t>
            </w:r>
            <w:r w:rsidRPr="003F553E">
              <w:rPr>
                <w:bCs/>
                <w:sz w:val="22"/>
                <w:szCs w:val="22"/>
              </w:rPr>
              <w:t xml:space="preserve"> ISBN-13:</w:t>
            </w:r>
            <w:r w:rsidRPr="003F553E">
              <w:rPr>
                <w:sz w:val="22"/>
                <w:szCs w:val="22"/>
              </w:rPr>
              <w:t xml:space="preserve"> 978-110700336.</w:t>
            </w:r>
          </w:p>
          <w:p w14:paraId="3DBF91D0" w14:textId="77777777" w:rsidR="003F553E" w:rsidRDefault="003F553E" w:rsidP="007A0CE1">
            <w:pPr>
              <w:pStyle w:val="Listaszerbekezds"/>
              <w:ind w:left="754" w:hanging="408"/>
              <w:rPr>
                <w:sz w:val="22"/>
                <w:szCs w:val="22"/>
              </w:rPr>
            </w:pPr>
          </w:p>
          <w:p w14:paraId="7949A5A9" w14:textId="77777777" w:rsidR="007A0CE1" w:rsidRPr="003F553E" w:rsidRDefault="003F553E" w:rsidP="007A0CE1">
            <w:pPr>
              <w:pStyle w:val="Listaszerbekezds"/>
              <w:ind w:left="754" w:hanging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Ajánlott irodalom</w:t>
            </w:r>
            <w:r w:rsidR="007A0CE1" w:rsidRPr="003F553E">
              <w:rPr>
                <w:sz w:val="22"/>
                <w:szCs w:val="22"/>
              </w:rPr>
              <w:t>:</w:t>
            </w:r>
          </w:p>
          <w:p w14:paraId="19654114" w14:textId="77777777" w:rsidR="007A0CE1" w:rsidRPr="003F553E" w:rsidRDefault="007A0CE1" w:rsidP="007A0CE1">
            <w:pPr>
              <w:pStyle w:val="Listaszerbekezds"/>
              <w:numPr>
                <w:ilvl w:val="0"/>
                <w:numId w:val="4"/>
              </w:numPr>
              <w:ind w:left="488" w:hanging="425"/>
              <w:rPr>
                <w:sz w:val="22"/>
                <w:szCs w:val="22"/>
              </w:rPr>
            </w:pPr>
            <w:r w:rsidRPr="003F553E">
              <w:rPr>
                <w:i/>
                <w:sz w:val="22"/>
                <w:szCs w:val="22"/>
              </w:rPr>
              <w:t>A Companion to the American Short Story</w:t>
            </w:r>
            <w:r w:rsidRPr="003F553E">
              <w:rPr>
                <w:sz w:val="22"/>
                <w:szCs w:val="22"/>
              </w:rPr>
              <w:t>. Eds. Bendixen, Alfred and James Nagel. Chichester: Wiley-Blackwell, 2010.</w:t>
            </w:r>
            <w:r w:rsidRPr="003F553E">
              <w:rPr>
                <w:bCs/>
                <w:sz w:val="22"/>
                <w:szCs w:val="22"/>
              </w:rPr>
              <w:t xml:space="preserve"> ISBN-13:</w:t>
            </w:r>
            <w:r w:rsidRPr="003F553E">
              <w:rPr>
                <w:sz w:val="22"/>
                <w:szCs w:val="22"/>
              </w:rPr>
              <w:t xml:space="preserve"> 978-0521281256.</w:t>
            </w:r>
          </w:p>
          <w:p w14:paraId="5C7E5955" w14:textId="77777777" w:rsidR="00B2620E" w:rsidRPr="003F553E" w:rsidRDefault="007A0CE1" w:rsidP="007A0CE1">
            <w:pPr>
              <w:pStyle w:val="Listaszerbekezds"/>
              <w:numPr>
                <w:ilvl w:val="0"/>
                <w:numId w:val="4"/>
              </w:numPr>
              <w:ind w:left="346" w:hanging="283"/>
              <w:rPr>
                <w:sz w:val="22"/>
                <w:szCs w:val="22"/>
              </w:rPr>
            </w:pPr>
            <w:r w:rsidRPr="003F553E">
              <w:rPr>
                <w:i/>
                <w:sz w:val="22"/>
                <w:szCs w:val="22"/>
              </w:rPr>
              <w:t>The Cambridge Companion to American Modernism</w:t>
            </w:r>
            <w:r w:rsidRPr="003F553E">
              <w:rPr>
                <w:sz w:val="22"/>
                <w:szCs w:val="22"/>
              </w:rPr>
              <w:t>. Ed. Walter Kalaidijan. Cambridge UP, 2005.</w:t>
            </w:r>
            <w:r w:rsidRPr="003F553E">
              <w:rPr>
                <w:bCs/>
                <w:sz w:val="22"/>
                <w:szCs w:val="22"/>
              </w:rPr>
              <w:t xml:space="preserve"> ISBN-13:</w:t>
            </w:r>
            <w:r w:rsidRPr="003F553E">
              <w:rPr>
                <w:sz w:val="22"/>
                <w:szCs w:val="22"/>
              </w:rPr>
              <w:t xml:space="preserve"> 978-0521281256</w:t>
            </w:r>
          </w:p>
        </w:tc>
      </w:tr>
    </w:tbl>
    <w:p w14:paraId="4245A550" w14:textId="77777777" w:rsidR="00B2620E" w:rsidRPr="00FF04CE" w:rsidRDefault="00B2620E" w:rsidP="00B2620E">
      <w:pPr>
        <w:spacing w:after="120"/>
        <w:ind w:left="142"/>
        <w:jc w:val="both"/>
        <w:rPr>
          <w:rFonts w:ascii="Arial" w:hAnsi="Arial" w:cs="Arial"/>
          <w:sz w:val="2"/>
          <w:szCs w:val="2"/>
        </w:rPr>
      </w:pPr>
    </w:p>
    <w:sectPr w:rsidR="00B2620E" w:rsidRPr="00FF04CE" w:rsidSect="0081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27A3" w14:textId="77777777" w:rsidR="00612F3C" w:rsidRDefault="00612F3C" w:rsidP="00B2620E">
      <w:r>
        <w:separator/>
      </w:r>
    </w:p>
  </w:endnote>
  <w:endnote w:type="continuationSeparator" w:id="0">
    <w:p w14:paraId="1211A3B1" w14:textId="77777777" w:rsidR="00612F3C" w:rsidRDefault="00612F3C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61D60" w14:textId="77777777" w:rsidR="00612F3C" w:rsidRDefault="00612F3C" w:rsidP="00B2620E">
      <w:r>
        <w:separator/>
      </w:r>
    </w:p>
  </w:footnote>
  <w:footnote w:type="continuationSeparator" w:id="0">
    <w:p w14:paraId="597EFECD" w14:textId="77777777" w:rsidR="00612F3C" w:rsidRDefault="00612F3C" w:rsidP="00B2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3A3E"/>
    <w:multiLevelType w:val="hybridMultilevel"/>
    <w:tmpl w:val="2C0AFF2A"/>
    <w:lvl w:ilvl="0" w:tplc="07AC922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4685AE3"/>
    <w:multiLevelType w:val="hybridMultilevel"/>
    <w:tmpl w:val="36221602"/>
    <w:lvl w:ilvl="0" w:tplc="C7800B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564E"/>
    <w:multiLevelType w:val="hybridMultilevel"/>
    <w:tmpl w:val="29340B1C"/>
    <w:lvl w:ilvl="0" w:tplc="F0B60BB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20E"/>
    <w:rsid w:val="00022EC1"/>
    <w:rsid w:val="000755A0"/>
    <w:rsid w:val="000B35BA"/>
    <w:rsid w:val="000C1782"/>
    <w:rsid w:val="001715D3"/>
    <w:rsid w:val="00177B51"/>
    <w:rsid w:val="00321012"/>
    <w:rsid w:val="003F553E"/>
    <w:rsid w:val="0046502D"/>
    <w:rsid w:val="00486501"/>
    <w:rsid w:val="004F3500"/>
    <w:rsid w:val="00612F3C"/>
    <w:rsid w:val="00782C73"/>
    <w:rsid w:val="007A0CE1"/>
    <w:rsid w:val="007C193F"/>
    <w:rsid w:val="008106BE"/>
    <w:rsid w:val="00865F3D"/>
    <w:rsid w:val="00872C93"/>
    <w:rsid w:val="00905295"/>
    <w:rsid w:val="0094548A"/>
    <w:rsid w:val="009565E4"/>
    <w:rsid w:val="00965508"/>
    <w:rsid w:val="00A373DE"/>
    <w:rsid w:val="00A64E4D"/>
    <w:rsid w:val="00A92DCD"/>
    <w:rsid w:val="00B23181"/>
    <w:rsid w:val="00B2620E"/>
    <w:rsid w:val="00B4080B"/>
    <w:rsid w:val="00B94105"/>
    <w:rsid w:val="00BE17C0"/>
    <w:rsid w:val="00BE1EF4"/>
    <w:rsid w:val="00C36B3F"/>
    <w:rsid w:val="00C8628E"/>
    <w:rsid w:val="00D02F73"/>
    <w:rsid w:val="00D07B46"/>
    <w:rsid w:val="00D868D6"/>
    <w:rsid w:val="00DF6110"/>
    <w:rsid w:val="00E3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A56B9"/>
  <w15:docId w15:val="{0DFED477-A0E9-4D99-AAFD-18BF92AD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905295"/>
    <w:pPr>
      <w:ind w:left="720"/>
      <w:contextualSpacing/>
    </w:pPr>
    <w:rPr>
      <w:lang w:val="en-US" w:eastAsia="en-US" w:bidi="en-US"/>
    </w:rPr>
  </w:style>
  <w:style w:type="paragraph" w:styleId="NormlWeb">
    <w:name w:val="Normal (Web)"/>
    <w:basedOn w:val="Norml"/>
    <w:uiPriority w:val="99"/>
    <w:unhideWhenUsed/>
    <w:rsid w:val="007A0CE1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B50171-477B-4FA2-BF0F-CDCB3C3A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PPKE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bbkati</cp:lastModifiedBy>
  <cp:revision>5</cp:revision>
  <dcterms:created xsi:type="dcterms:W3CDTF">2017-01-15T11:34:00Z</dcterms:created>
  <dcterms:modified xsi:type="dcterms:W3CDTF">2018-08-31T21:50:00Z</dcterms:modified>
</cp:coreProperties>
</file>