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79" w:rsidRPr="00982CCB" w:rsidRDefault="00E41779" w:rsidP="00E41779">
      <w:pPr>
        <w:jc w:val="right"/>
        <w:rPr>
          <w:iCs/>
        </w:rPr>
      </w:pPr>
      <w:bookmarkStart w:id="0" w:name="_GoBack"/>
      <w:bookmarkEnd w:id="0"/>
      <w:r w:rsidRPr="00982CCB">
        <w:rPr>
          <w:iCs/>
        </w:rPr>
        <w:t>Fröhlich Ida</w:t>
      </w:r>
    </w:p>
    <w:p w:rsidR="00E41779" w:rsidRPr="00982CCB" w:rsidRDefault="00E41779" w:rsidP="00E41779">
      <w:pPr>
        <w:jc w:val="center"/>
        <w:rPr>
          <w:b/>
          <w:bCs/>
          <w:iCs/>
        </w:rPr>
      </w:pPr>
    </w:p>
    <w:p w:rsidR="00E41779" w:rsidRPr="00982CCB" w:rsidRDefault="00E41779" w:rsidP="00E41779">
      <w:pPr>
        <w:jc w:val="center"/>
        <w:rPr>
          <w:b/>
          <w:bCs/>
          <w:iCs/>
        </w:rPr>
      </w:pPr>
      <w:r w:rsidRPr="00982CCB">
        <w:rPr>
          <w:b/>
          <w:bCs/>
          <w:iCs/>
        </w:rPr>
        <w:t>TÖRTÉNETI EMLÉKEZET ÉS TÖRTÉNETÍRÁS AZ ÓKORBAN</w:t>
      </w:r>
    </w:p>
    <w:p w:rsidR="00E41779" w:rsidRPr="00982CCB" w:rsidRDefault="00E41779" w:rsidP="00E41779">
      <w:pPr>
        <w:jc w:val="center"/>
        <w:rPr>
          <w:iCs/>
        </w:rPr>
      </w:pPr>
      <w:r w:rsidRPr="00982CCB">
        <w:rPr>
          <w:iCs/>
        </w:rPr>
        <w:t>előadás</w:t>
      </w:r>
    </w:p>
    <w:p w:rsidR="00E41779" w:rsidRPr="00982CCB" w:rsidRDefault="00E41779" w:rsidP="00E576A4">
      <w:pPr>
        <w:jc w:val="center"/>
        <w:rPr>
          <w:iCs/>
        </w:rPr>
      </w:pPr>
      <w:r w:rsidRPr="00982CCB">
        <w:rPr>
          <w:iCs/>
        </w:rPr>
        <w:t>Történelemtudományi Doktori Iskola 201</w:t>
      </w:r>
      <w:r w:rsidR="00E576A4">
        <w:rPr>
          <w:iCs/>
        </w:rPr>
        <w:t>4</w:t>
      </w:r>
      <w:r w:rsidRPr="00982CCB">
        <w:rPr>
          <w:iCs/>
        </w:rPr>
        <w:t>/1</w:t>
      </w:r>
      <w:r w:rsidR="00E576A4">
        <w:rPr>
          <w:iCs/>
        </w:rPr>
        <w:t>5</w:t>
      </w:r>
      <w:r w:rsidRPr="00982CCB">
        <w:rPr>
          <w:iCs/>
        </w:rPr>
        <w:t>. I. félév</w:t>
      </w:r>
    </w:p>
    <w:p w:rsidR="00E41779" w:rsidRPr="00982CCB" w:rsidRDefault="00E41779" w:rsidP="00E41779">
      <w:pPr>
        <w:jc w:val="center"/>
        <w:rPr>
          <w:b/>
          <w:iCs/>
        </w:rPr>
      </w:pPr>
    </w:p>
    <w:p w:rsidR="00E41779" w:rsidRPr="00982CCB" w:rsidRDefault="00E41779" w:rsidP="00E41779">
      <w:pPr>
        <w:rPr>
          <w:b/>
        </w:rPr>
      </w:pPr>
      <w:r w:rsidRPr="00982CCB">
        <w:rPr>
          <w:b/>
        </w:rPr>
        <w:t>TEMATIKA</w:t>
      </w:r>
    </w:p>
    <w:p w:rsidR="000C5834" w:rsidRPr="00982CCB" w:rsidRDefault="000C5834" w:rsidP="00E41779"/>
    <w:p w:rsidR="000C5834" w:rsidRPr="00982CCB" w:rsidRDefault="00392ED3" w:rsidP="00E41779">
      <w:r>
        <w:t>Szeptember 26</w:t>
      </w:r>
      <w:r w:rsidR="000C5834" w:rsidRPr="00982CCB">
        <w:t>.</w:t>
      </w:r>
    </w:p>
    <w:p w:rsidR="0089499C" w:rsidRDefault="00E41779" w:rsidP="0089499C">
      <w:pPr>
        <w:numPr>
          <w:ilvl w:val="0"/>
          <w:numId w:val="1"/>
        </w:numPr>
      </w:pPr>
      <w:r w:rsidRPr="00982CCB">
        <w:t xml:space="preserve">Bevezető: az ókori Kelet (Egyiptom, Mezopotámia, a hettiták) </w:t>
      </w:r>
    </w:p>
    <w:p w:rsidR="005B0DE7" w:rsidRDefault="00E41779" w:rsidP="0089499C">
      <w:pPr>
        <w:numPr>
          <w:ilvl w:val="0"/>
          <w:numId w:val="1"/>
        </w:numPr>
      </w:pPr>
      <w:r w:rsidRPr="00982CCB">
        <w:t>Izrael múltja a deuteronomiumi történetírásban (</w:t>
      </w:r>
      <w:r w:rsidR="00392ED3">
        <w:t xml:space="preserve">lineáris történetírás, </w:t>
      </w:r>
      <w:r w:rsidRPr="00982CCB">
        <w:t xml:space="preserve">az ősatyáktól a bírák koráig) </w:t>
      </w:r>
    </w:p>
    <w:p w:rsidR="00982CCB" w:rsidRPr="00982CCB" w:rsidRDefault="00982CCB" w:rsidP="00982CCB">
      <w:pPr>
        <w:ind w:left="720"/>
      </w:pPr>
    </w:p>
    <w:p w:rsidR="00E41779" w:rsidRPr="00982CCB" w:rsidRDefault="0089499C" w:rsidP="005B0DE7">
      <w:r>
        <w:t>O</w:t>
      </w:r>
      <w:r w:rsidR="00392ED3">
        <w:t>któber 10</w:t>
      </w:r>
      <w:r w:rsidR="005B0DE7" w:rsidRPr="00982CCB">
        <w:t>.</w:t>
      </w:r>
    </w:p>
    <w:p w:rsidR="00E41779" w:rsidRPr="00982CCB" w:rsidRDefault="00E41779" w:rsidP="00392ED3">
      <w:pPr>
        <w:numPr>
          <w:ilvl w:val="0"/>
          <w:numId w:val="1"/>
        </w:numPr>
      </w:pPr>
      <w:r w:rsidRPr="00982CCB">
        <w:t xml:space="preserve">Az Ószövetség: Izrael múltja a </w:t>
      </w:r>
      <w:r w:rsidR="0089499C">
        <w:t xml:space="preserve">deuteronomiumi történetírásban és </w:t>
      </w:r>
      <w:r w:rsidRPr="00982CCB">
        <w:t xml:space="preserve">az </w:t>
      </w:r>
      <w:r w:rsidR="0089499C">
        <w:t>emlékezés helyei</w:t>
      </w:r>
    </w:p>
    <w:p w:rsidR="005B0DE7" w:rsidRDefault="00E41779" w:rsidP="00E41779">
      <w:pPr>
        <w:numPr>
          <w:ilvl w:val="0"/>
          <w:numId w:val="1"/>
        </w:numPr>
      </w:pPr>
      <w:r w:rsidRPr="00982CCB">
        <w:t>Az Ószövetség: világtörténet a papi szerkesztő (P) munkájában</w:t>
      </w:r>
      <w:r w:rsidR="00392ED3">
        <w:t>. Az emlékezés helyei</w:t>
      </w:r>
      <w:r w:rsidRPr="00982CCB">
        <w:t xml:space="preserve"> </w:t>
      </w:r>
    </w:p>
    <w:p w:rsidR="00982CCB" w:rsidRPr="00982CCB" w:rsidRDefault="00982CCB" w:rsidP="00982CCB"/>
    <w:p w:rsidR="00E41779" w:rsidRPr="00982CCB" w:rsidRDefault="005B0DE7" w:rsidP="005B0DE7">
      <w:r w:rsidRPr="00982CCB">
        <w:t>Október</w:t>
      </w:r>
      <w:r w:rsidR="00392ED3">
        <w:t xml:space="preserve"> 24</w:t>
      </w:r>
      <w:r w:rsidR="00982CCB" w:rsidRPr="00982CCB">
        <w:t>.</w:t>
      </w:r>
    </w:p>
    <w:p w:rsidR="003361F1" w:rsidRPr="00982CCB" w:rsidRDefault="0089499C" w:rsidP="0089499C">
      <w:pPr>
        <w:pStyle w:val="Listaszerbekezds"/>
        <w:numPr>
          <w:ilvl w:val="0"/>
          <w:numId w:val="1"/>
        </w:numPr>
      </w:pPr>
      <w:r>
        <w:t xml:space="preserve">Történeti fordulópontok és emlékezetük: </w:t>
      </w:r>
      <w:r w:rsidR="003361F1">
        <w:t xml:space="preserve">Babilon bukása (Kürosz-ediktum, a Verse Account, Deutero-Izajás, </w:t>
      </w:r>
      <w:r w:rsidR="003361F1" w:rsidRPr="00982CCB">
        <w:t>Dániel</w:t>
      </w:r>
      <w:r w:rsidR="003361F1">
        <w:t>)</w:t>
      </w:r>
    </w:p>
    <w:p w:rsidR="00E41779" w:rsidRPr="00982CCB" w:rsidRDefault="003361F1" w:rsidP="0089499C">
      <w:pPr>
        <w:numPr>
          <w:ilvl w:val="0"/>
          <w:numId w:val="1"/>
        </w:numPr>
      </w:pPr>
      <w:r>
        <w:t>Újraírt múlt a Krón</w:t>
      </w:r>
      <w:r w:rsidR="0089499C">
        <w:t>ikák könyveiben. A jeruzsálemi S</w:t>
      </w:r>
      <w:r>
        <w:t>zentély mint az emlékezés helye</w:t>
      </w:r>
    </w:p>
    <w:p w:rsidR="003361F1" w:rsidRDefault="003361F1" w:rsidP="00982CCB"/>
    <w:p w:rsidR="00E41779" w:rsidRPr="00982CCB" w:rsidRDefault="0089499C" w:rsidP="00982CCB">
      <w:r>
        <w:t>N</w:t>
      </w:r>
      <w:r w:rsidR="00392ED3">
        <w:t>ovember 7</w:t>
      </w:r>
      <w:r w:rsidR="00982CCB" w:rsidRPr="00982CCB">
        <w:t>.</w:t>
      </w:r>
    </w:p>
    <w:p w:rsidR="00982CCB" w:rsidRDefault="0089499C" w:rsidP="0089499C">
      <w:pPr>
        <w:numPr>
          <w:ilvl w:val="0"/>
          <w:numId w:val="1"/>
        </w:numPr>
      </w:pPr>
      <w:r>
        <w:t xml:space="preserve">Messianizmus a prófétai irodalomban. </w:t>
      </w:r>
      <w:r w:rsidR="00E41779" w:rsidRPr="00982CCB">
        <w:t xml:space="preserve">A történeti hagyomány értelmezése az „újraírt Bibliák”-ban </w:t>
      </w:r>
    </w:p>
    <w:p w:rsidR="0089499C" w:rsidRPr="00982CCB" w:rsidRDefault="0089499C" w:rsidP="0089499C">
      <w:pPr>
        <w:numPr>
          <w:ilvl w:val="0"/>
          <w:numId w:val="1"/>
        </w:numPr>
      </w:pPr>
      <w:r w:rsidRPr="00982CCB">
        <w:t>Válság és történeti emlékezet: a hellénista válság (1-2Makkabeusok, Dán 10-12)</w:t>
      </w:r>
    </w:p>
    <w:p w:rsidR="0089499C" w:rsidRPr="00982CCB" w:rsidRDefault="0089499C" w:rsidP="0089499C">
      <w:pPr>
        <w:ind w:left="720"/>
      </w:pPr>
    </w:p>
    <w:p w:rsidR="00E41779" w:rsidRPr="00982CCB" w:rsidRDefault="00392ED3" w:rsidP="00982CCB">
      <w:r>
        <w:t>November 21</w:t>
      </w:r>
      <w:r w:rsidR="00982CCB" w:rsidRPr="00982CCB">
        <w:t>.</w:t>
      </w:r>
    </w:p>
    <w:p w:rsidR="00E41779" w:rsidRPr="00982CCB" w:rsidRDefault="00E41779" w:rsidP="0089499C">
      <w:pPr>
        <w:numPr>
          <w:ilvl w:val="0"/>
          <w:numId w:val="1"/>
        </w:numPr>
      </w:pPr>
      <w:r w:rsidRPr="00982CCB">
        <w:t>Látomásirodalom (apokaliptika) és próféciák misztikus értelmezése (</w:t>
      </w:r>
      <w:r w:rsidRPr="00982CCB">
        <w:rPr>
          <w:i/>
        </w:rPr>
        <w:t>peser</w:t>
      </w:r>
      <w:r w:rsidRPr="00982CCB">
        <w:t>)</w:t>
      </w:r>
    </w:p>
    <w:p w:rsidR="00982CCB" w:rsidRPr="00982CCB" w:rsidRDefault="00E41779" w:rsidP="0089499C">
      <w:pPr>
        <w:numPr>
          <w:ilvl w:val="0"/>
          <w:numId w:val="1"/>
        </w:numPr>
      </w:pPr>
      <w:r w:rsidRPr="00982CCB">
        <w:t xml:space="preserve">Történeti legendák és valóság a Makkabeus-kor irodalmában (Eszter, Judit) </w:t>
      </w:r>
    </w:p>
    <w:p w:rsidR="00982CCB" w:rsidRDefault="00982CCB" w:rsidP="00982CCB"/>
    <w:p w:rsidR="00E41779" w:rsidRPr="00982CCB" w:rsidRDefault="0089499C" w:rsidP="00982CCB">
      <w:r>
        <w:t>D</w:t>
      </w:r>
      <w:r w:rsidR="00392ED3">
        <w:t>ecember 5.</w:t>
      </w:r>
    </w:p>
    <w:p w:rsidR="00E41779" w:rsidRPr="00982CCB" w:rsidRDefault="00E41779" w:rsidP="0089499C">
      <w:pPr>
        <w:numPr>
          <w:ilvl w:val="0"/>
          <w:numId w:val="1"/>
        </w:numPr>
      </w:pPr>
      <w:r w:rsidRPr="00982CCB">
        <w:t>A hellénisztikus görög történetírás és a Kelet (Bérószosz, Manethón, Ktésziasz)</w:t>
      </w:r>
    </w:p>
    <w:p w:rsidR="00E41779" w:rsidRPr="00982CCB" w:rsidRDefault="00E41779" w:rsidP="0089499C">
      <w:pPr>
        <w:numPr>
          <w:ilvl w:val="0"/>
          <w:numId w:val="1"/>
        </w:numPr>
      </w:pPr>
      <w:r w:rsidRPr="00982CCB">
        <w:t>A hellénisztikus történetírá</w:t>
      </w:r>
      <w:r w:rsidR="000F0073">
        <w:t>s és a zsidóság (</w:t>
      </w:r>
      <w:r w:rsidRPr="00982CCB">
        <w:t>Josephus)</w:t>
      </w:r>
    </w:p>
    <w:p w:rsidR="000F0073" w:rsidRDefault="000F0073">
      <w:pPr>
        <w:spacing w:after="200" w:line="276" w:lineRule="auto"/>
      </w:pPr>
      <w:r>
        <w:br w:type="page"/>
      </w:r>
    </w:p>
    <w:p w:rsidR="000F0073" w:rsidRPr="00982CCB" w:rsidRDefault="000F0073" w:rsidP="000F0073">
      <w:pPr>
        <w:rPr>
          <w:b/>
          <w:iCs/>
        </w:rPr>
      </w:pPr>
      <w:r w:rsidRPr="00982CCB">
        <w:rPr>
          <w:b/>
          <w:iCs/>
        </w:rPr>
        <w:lastRenderedPageBreak/>
        <w:t>FORRÁSOK</w:t>
      </w:r>
    </w:p>
    <w:p w:rsidR="000F0073" w:rsidRPr="00982CCB" w:rsidRDefault="000F0073" w:rsidP="000F0073">
      <w:pPr>
        <w:rPr>
          <w:iCs/>
        </w:rPr>
      </w:pPr>
      <w:r w:rsidRPr="00982CCB">
        <w:rPr>
          <w:iCs/>
        </w:rPr>
        <w:t>• Biblia. Ószövetségi és újszövetségi Szentírás, 2. kiadás, Budapest: Szent István Társulat, 2005</w:t>
      </w:r>
    </w:p>
    <w:p w:rsidR="000F0073" w:rsidRPr="00982CCB" w:rsidRDefault="000F0073" w:rsidP="000F0073">
      <w:pPr>
        <w:tabs>
          <w:tab w:val="left" w:pos="0"/>
        </w:tabs>
        <w:suppressAutoHyphens/>
        <w:jc w:val="both"/>
        <w:rPr>
          <w:spacing w:val="-3"/>
          <w:lang w:val="en-US"/>
        </w:rPr>
      </w:pPr>
      <w:r w:rsidRPr="00982CCB">
        <w:rPr>
          <w:iCs/>
        </w:rPr>
        <w:t xml:space="preserve">• </w:t>
      </w:r>
      <w:r w:rsidRPr="00982CCB">
        <w:rPr>
          <w:spacing w:val="-3"/>
          <w:lang w:val="en-US"/>
        </w:rPr>
        <w:t>Josephus Flavius, A zsidók története, Budapest: Gondolat, 1994</w:t>
      </w:r>
      <w:r w:rsidRPr="00982CCB">
        <w:rPr>
          <w:spacing w:val="-3"/>
          <w:lang w:val="en-US"/>
        </w:rPr>
        <w:tab/>
      </w:r>
    </w:p>
    <w:p w:rsidR="000F0073" w:rsidRPr="00982CCB" w:rsidRDefault="000F0073" w:rsidP="000F0073">
      <w:pPr>
        <w:tabs>
          <w:tab w:val="left" w:pos="0"/>
        </w:tabs>
        <w:suppressAutoHyphens/>
        <w:jc w:val="both"/>
      </w:pPr>
      <w:r w:rsidRPr="00982CCB">
        <w:rPr>
          <w:iCs/>
        </w:rPr>
        <w:t xml:space="preserve">• </w:t>
      </w:r>
      <w:r w:rsidRPr="00982CCB">
        <w:t>Fröhlich Ida, A qumráni szövegek magyarul. Studia Orientalia 1, Második, jav.és bőv. kiadás, Piliscsaba:- Budapest: PPKE - Szent István Kiadó 2000, 590 o.</w:t>
      </w:r>
    </w:p>
    <w:p w:rsidR="000F0073" w:rsidRPr="00982CCB" w:rsidRDefault="000F0073" w:rsidP="000F0073">
      <w:pPr>
        <w:pStyle w:val="Szvegtrzs"/>
        <w:outlineLvl w:val="0"/>
        <w:rPr>
          <w:rStyle w:val="keyvalue"/>
          <w:sz w:val="24"/>
          <w:szCs w:val="24"/>
        </w:rPr>
      </w:pPr>
      <w:r w:rsidRPr="00982CCB">
        <w:rPr>
          <w:iCs/>
          <w:sz w:val="24"/>
          <w:szCs w:val="24"/>
        </w:rPr>
        <w:t xml:space="preserve">• </w:t>
      </w:r>
      <w:r w:rsidRPr="00982CCB">
        <w:rPr>
          <w:rStyle w:val="keyvalue"/>
          <w:bCs/>
          <w:sz w:val="24"/>
          <w:szCs w:val="24"/>
        </w:rPr>
        <w:t>Harmatta János (szerk.), Ókori</w:t>
      </w:r>
      <w:r w:rsidRPr="00982CCB">
        <w:rPr>
          <w:rStyle w:val="keyvalue"/>
          <w:sz w:val="24"/>
          <w:szCs w:val="24"/>
        </w:rPr>
        <w:t xml:space="preserve"> </w:t>
      </w:r>
      <w:r w:rsidRPr="00982CCB">
        <w:rPr>
          <w:rStyle w:val="keyvalue"/>
          <w:bCs/>
          <w:sz w:val="24"/>
          <w:szCs w:val="24"/>
        </w:rPr>
        <w:t>keleti</w:t>
      </w:r>
      <w:r w:rsidRPr="00982CCB">
        <w:rPr>
          <w:rStyle w:val="keyvalue"/>
          <w:sz w:val="24"/>
          <w:szCs w:val="24"/>
        </w:rPr>
        <w:t xml:space="preserve"> </w:t>
      </w:r>
      <w:r w:rsidRPr="00982CCB">
        <w:rPr>
          <w:rStyle w:val="keyvalue"/>
          <w:bCs/>
          <w:sz w:val="24"/>
          <w:szCs w:val="24"/>
        </w:rPr>
        <w:t>történeti</w:t>
      </w:r>
      <w:r w:rsidRPr="00982CCB">
        <w:rPr>
          <w:rStyle w:val="keyvalue"/>
          <w:sz w:val="24"/>
          <w:szCs w:val="24"/>
        </w:rPr>
        <w:t xml:space="preserve"> chrestomathia (sajtó alá rend. Puskás Ildikó), Budapest: Osiris, 2003</w:t>
      </w:r>
    </w:p>
    <w:p w:rsidR="000F0073" w:rsidRPr="00982CCB" w:rsidRDefault="000F0073" w:rsidP="000F0073">
      <w:pPr>
        <w:tabs>
          <w:tab w:val="left" w:pos="0"/>
        </w:tabs>
        <w:suppressAutoHyphens/>
        <w:jc w:val="both"/>
        <w:rPr>
          <w:spacing w:val="-3"/>
          <w:lang w:val="en-US"/>
        </w:rPr>
      </w:pPr>
      <w:r w:rsidRPr="00982CCB">
        <w:rPr>
          <w:iCs/>
        </w:rPr>
        <w:t xml:space="preserve">• </w:t>
      </w:r>
      <w:r w:rsidRPr="00982CCB">
        <w:rPr>
          <w:spacing w:val="-3"/>
          <w:lang w:val="en-US"/>
        </w:rPr>
        <w:t xml:space="preserve">J.B. Pritchard (ed.), </w:t>
      </w:r>
      <w:r w:rsidRPr="00982CCB">
        <w:rPr>
          <w:rStyle w:val="keyvalue"/>
        </w:rPr>
        <w:t>The Ancient Near East. 1. vol., An anthology of texts and pictures</w:t>
      </w:r>
      <w:r w:rsidRPr="00982CCB">
        <w:rPr>
          <w:spacing w:val="-3"/>
          <w:lang w:val="en-US"/>
        </w:rPr>
        <w:t xml:space="preserve"> Princeton: Princeton University Print, 1992 (röv. ANET)</w:t>
      </w:r>
    </w:p>
    <w:p w:rsidR="000F0073" w:rsidRPr="00982CCB" w:rsidRDefault="000F0073" w:rsidP="000F0073">
      <w:pPr>
        <w:rPr>
          <w:b/>
          <w:bCs/>
        </w:rPr>
      </w:pPr>
    </w:p>
    <w:p w:rsidR="000F0073" w:rsidRPr="00982CCB" w:rsidRDefault="000F0073" w:rsidP="000F0073">
      <w:r w:rsidRPr="00982CCB">
        <w:rPr>
          <w:b/>
          <w:bCs/>
        </w:rPr>
        <w:t>KÖTELEZŐ IRODALOM</w:t>
      </w:r>
    </w:p>
    <w:p w:rsidR="000F0073" w:rsidRPr="00982CCB" w:rsidRDefault="000F0073" w:rsidP="000F0073"/>
    <w:p w:rsidR="000F0073" w:rsidRPr="00982CCB" w:rsidRDefault="000F0073" w:rsidP="000F0073">
      <w:r w:rsidRPr="00982CCB">
        <w:rPr>
          <w:iCs/>
        </w:rPr>
        <w:t xml:space="preserve">• </w:t>
      </w:r>
      <w:r w:rsidRPr="00982CCB">
        <w:t>Assmann, J., A kulturális emlékezet: írás, emlékezés és politikai identitás a korai magaskultúrákban, Budapest: Atlantisz, 1999</w:t>
      </w:r>
    </w:p>
    <w:p w:rsidR="000F0073" w:rsidRPr="00982CCB" w:rsidRDefault="000F0073" w:rsidP="000F0073">
      <w:r w:rsidRPr="00982CCB">
        <w:rPr>
          <w:iCs/>
        </w:rPr>
        <w:t xml:space="preserve">• </w:t>
      </w:r>
      <w:r w:rsidRPr="00982CCB">
        <w:t>Breisach, Ernst, Historiográfia, Budapest: Osiris, 2004</w:t>
      </w:r>
    </w:p>
    <w:p w:rsidR="000F0073" w:rsidRPr="00982CCB" w:rsidRDefault="000F0073" w:rsidP="000F0073">
      <w:r w:rsidRPr="00982CCB">
        <w:rPr>
          <w:iCs/>
        </w:rPr>
        <w:t xml:space="preserve">• </w:t>
      </w:r>
      <w:r w:rsidRPr="00982CCB">
        <w:t>Löwith, K. Világtörténelem és üdvtörténet: a történelemfilozófia teológiai gyökerei, Budapest: Atlantisz, 1996</w:t>
      </w:r>
    </w:p>
    <w:p w:rsidR="000F0073" w:rsidRPr="00982CCB" w:rsidRDefault="000F0073" w:rsidP="000F0073"/>
    <w:p w:rsidR="000F0073" w:rsidRPr="00982CCB" w:rsidRDefault="000F0073" w:rsidP="000F0073">
      <w:pPr>
        <w:rPr>
          <w:b/>
          <w:bCs/>
        </w:rPr>
      </w:pPr>
      <w:r w:rsidRPr="00982CCB">
        <w:rPr>
          <w:b/>
          <w:bCs/>
        </w:rPr>
        <w:t>AJÁNLOTT IRODALOM</w:t>
      </w:r>
    </w:p>
    <w:p w:rsidR="000F0073" w:rsidRPr="00982CCB" w:rsidRDefault="000F0073" w:rsidP="000F0073"/>
    <w:p w:rsidR="000F0073" w:rsidRPr="00982CCB" w:rsidRDefault="000F0073" w:rsidP="000F0073">
      <w:r w:rsidRPr="00982CCB">
        <w:rPr>
          <w:iCs/>
        </w:rPr>
        <w:t xml:space="preserve">• </w:t>
      </w:r>
      <w:r w:rsidRPr="00982CCB">
        <w:t>Nora, Pierre, Emlékezet és történelem között. Válogatott tanulmányok. Vál., szerk. K. Horváth Zsolt, Budapest: Napvilág kiadó, 2010</w:t>
      </w:r>
    </w:p>
    <w:p w:rsidR="000F0073" w:rsidRPr="00982CCB" w:rsidRDefault="000F0073" w:rsidP="000F0073">
      <w:r w:rsidRPr="00982CCB">
        <w:rPr>
          <w:iCs/>
        </w:rPr>
        <w:t xml:space="preserve">• </w:t>
      </w:r>
      <w:r w:rsidRPr="00982CCB">
        <w:t>Dentan, R.C. (ed.), The Idea of History in the Ancient Near East, New Haven, Conn. 1954 (repr. 1983)</w:t>
      </w:r>
    </w:p>
    <w:p w:rsidR="000F0073" w:rsidRPr="00982CCB" w:rsidRDefault="000F0073" w:rsidP="000F0073">
      <w:r w:rsidRPr="00982CCB">
        <w:rPr>
          <w:iCs/>
        </w:rPr>
        <w:t xml:space="preserve">• </w:t>
      </w:r>
      <w:r w:rsidRPr="00982CCB">
        <w:t>Historiography in the Ancient Near East, Orientalia 49/2 (1980)</w:t>
      </w:r>
    </w:p>
    <w:p w:rsidR="000F0073" w:rsidRPr="00982CCB" w:rsidRDefault="000F0073" w:rsidP="000F0073">
      <w:pPr>
        <w:rPr>
          <w:lang w:val="en-US"/>
        </w:rPr>
      </w:pPr>
      <w:r w:rsidRPr="00982CCB">
        <w:rPr>
          <w:iCs/>
        </w:rPr>
        <w:t xml:space="preserve">• </w:t>
      </w:r>
      <w:r w:rsidRPr="00982CCB">
        <w:rPr>
          <w:lang w:val="en-US"/>
        </w:rPr>
        <w:t>Michalowski, P. 1983. History as Charter, Journal of African and Oriental Studies 103/1: 237–48</w:t>
      </w:r>
    </w:p>
    <w:p w:rsidR="000F0073" w:rsidRPr="00982CCB" w:rsidRDefault="000F0073" w:rsidP="000F0073">
      <w:r w:rsidRPr="00982CCB">
        <w:rPr>
          <w:iCs/>
        </w:rPr>
        <w:t xml:space="preserve">• </w:t>
      </w:r>
      <w:r w:rsidRPr="00982CCB">
        <w:rPr>
          <w:lang w:val="en-US"/>
        </w:rPr>
        <w:t>Breisach, E., Historiography: ancient, medieval and modern, Chicago: University of Chicago Press, 1983</w:t>
      </w:r>
      <w:r w:rsidRPr="00982CCB">
        <w:t>*</w:t>
      </w:r>
    </w:p>
    <w:p w:rsidR="000F0073" w:rsidRPr="000F0073" w:rsidRDefault="000F0073" w:rsidP="000F0073">
      <w:r w:rsidRPr="00982CCB">
        <w:rPr>
          <w:iCs/>
        </w:rPr>
        <w:t xml:space="preserve">• </w:t>
      </w:r>
      <w:r w:rsidRPr="00982CCB">
        <w:t>Albrektson, Bertil, History and the Gods. An essay on the idea of historical events as divine manifestations on the Ancient Near East and in Israel, Lund: Gleerup, 1967</w:t>
      </w:r>
    </w:p>
    <w:p w:rsidR="000F0073" w:rsidRPr="000F0073" w:rsidRDefault="000F0073" w:rsidP="000F0073">
      <w:r w:rsidRPr="000F0073">
        <w:rPr>
          <w:iCs/>
        </w:rPr>
        <w:t xml:space="preserve">• Blenkinsopp, Joseph, David Remembered: </w:t>
      </w:r>
      <w:r w:rsidRPr="000F0073">
        <w:t>kingship and national identity in ancient Israel, Grand Rapids, Michigan : William B. Eerdmans Publishing Company, 2013</w:t>
      </w:r>
    </w:p>
    <w:p w:rsidR="000F0073" w:rsidRPr="00982CCB" w:rsidRDefault="000F0073" w:rsidP="000F0073">
      <w:r w:rsidRPr="00982CCB">
        <w:rPr>
          <w:iCs/>
        </w:rPr>
        <w:t xml:space="preserve">• </w:t>
      </w:r>
      <w:r w:rsidRPr="00982CCB">
        <w:t>Cancik H., Grundzüge der hethitischen und alttestamentliche Geschichtsschreibung, Wiesbaden, 1976</w:t>
      </w:r>
    </w:p>
    <w:p w:rsidR="000F0073" w:rsidRPr="00982CCB" w:rsidRDefault="000F0073" w:rsidP="000F0073">
      <w:pPr>
        <w:autoSpaceDE w:val="0"/>
        <w:autoSpaceDN w:val="0"/>
        <w:adjustRightInd w:val="0"/>
        <w:ind w:left="360" w:hanging="360"/>
        <w:rPr>
          <w:lang w:val="en-US"/>
        </w:rPr>
      </w:pPr>
      <w:r w:rsidRPr="00982CCB">
        <w:rPr>
          <w:iCs/>
        </w:rPr>
        <w:t xml:space="preserve">• </w:t>
      </w:r>
      <w:r w:rsidRPr="00982CCB">
        <w:rPr>
          <w:lang w:val="de-DE"/>
        </w:rPr>
        <w:t xml:space="preserve">Finkelstein, J. J. 1963. Mesopotamian Historiography, </w:t>
      </w:r>
      <w:r w:rsidRPr="00982CCB">
        <w:rPr>
          <w:lang w:val="en-US"/>
        </w:rPr>
        <w:t>Proceedings of the American Philosophical Society 107: 461–72.</w:t>
      </w:r>
    </w:p>
    <w:p w:rsidR="000F0073" w:rsidRPr="00982CCB" w:rsidRDefault="000F0073" w:rsidP="000F0073">
      <w:r w:rsidRPr="00982CCB">
        <w:rPr>
          <w:iCs/>
        </w:rPr>
        <w:t xml:space="preserve">• </w:t>
      </w:r>
      <w:r w:rsidRPr="00982CCB">
        <w:t>Glassner, J.J., Mesopotamian Chronicles, Atlanta: Society of Biblical Literature, 2004</w:t>
      </w:r>
    </w:p>
    <w:p w:rsidR="000F0073" w:rsidRPr="00982CCB" w:rsidRDefault="000F0073" w:rsidP="000F0073">
      <w:r w:rsidRPr="00982CCB">
        <w:rPr>
          <w:iCs/>
        </w:rPr>
        <w:t xml:space="preserve">• </w:t>
      </w:r>
      <w:r w:rsidRPr="00982CCB">
        <w:t xml:space="preserve">Grayson, A.K., Assyrian and Babylonian Chronicles. Texts from Cuneiform Sources 5, J.J. Augustin: Locust Valley, N.Y., 1975. Reprint: Eisenbrauns: Winona Lake, Indiana, 2000 </w:t>
      </w:r>
    </w:p>
    <w:p w:rsidR="000F0073" w:rsidRPr="00982CCB" w:rsidRDefault="000F0073" w:rsidP="000F0073">
      <w:pPr>
        <w:autoSpaceDE w:val="0"/>
        <w:autoSpaceDN w:val="0"/>
        <w:adjustRightInd w:val="0"/>
        <w:ind w:left="360" w:hanging="360"/>
        <w:rPr>
          <w:lang w:val="en-US"/>
        </w:rPr>
      </w:pPr>
      <w:r w:rsidRPr="00982CCB">
        <w:rPr>
          <w:iCs/>
        </w:rPr>
        <w:t xml:space="preserve">• </w:t>
      </w:r>
      <w:r w:rsidRPr="00982CCB">
        <w:rPr>
          <w:lang w:val="de-DE"/>
        </w:rPr>
        <w:t xml:space="preserve">Güterbock, H. G. 1934. Die historische Tradition und ihre literarische Gestaltung bei Babyloniern und Hethitern, Part 1, </w:t>
      </w:r>
      <w:r w:rsidRPr="00982CCB">
        <w:rPr>
          <w:lang w:val="en-US"/>
        </w:rPr>
        <w:t>Zeitschrift für Assyriologie 42: 1–91.</w:t>
      </w:r>
    </w:p>
    <w:p w:rsidR="000F0073" w:rsidRPr="00982CCB" w:rsidRDefault="000F0073" w:rsidP="000F0073">
      <w:pPr>
        <w:autoSpaceDE w:val="0"/>
        <w:autoSpaceDN w:val="0"/>
        <w:adjustRightInd w:val="0"/>
        <w:ind w:left="360" w:hanging="360"/>
        <w:rPr>
          <w:lang w:val="en-US"/>
        </w:rPr>
      </w:pPr>
      <w:r w:rsidRPr="00982CCB">
        <w:rPr>
          <w:iCs/>
        </w:rPr>
        <w:t xml:space="preserve">• </w:t>
      </w:r>
      <w:r w:rsidRPr="00982CCB">
        <w:rPr>
          <w:lang w:val="en-US"/>
        </w:rPr>
        <w:t xml:space="preserve">Kramer, S. N. 1953. Sumerian Historiography, </w:t>
      </w:r>
      <w:r w:rsidRPr="00982CCB">
        <w:rPr>
          <w:i/>
          <w:iCs/>
          <w:lang w:val="en-US"/>
        </w:rPr>
        <w:t>IEJ</w:t>
      </w:r>
      <w:r w:rsidRPr="00982CCB">
        <w:rPr>
          <w:lang w:val="en-US"/>
        </w:rPr>
        <w:t xml:space="preserve"> 3: 217–32.</w:t>
      </w:r>
    </w:p>
    <w:p w:rsidR="000F0073" w:rsidRPr="00982CCB" w:rsidRDefault="000F0073" w:rsidP="000F0073">
      <w:r w:rsidRPr="00982CCB">
        <w:rPr>
          <w:iCs/>
        </w:rPr>
        <w:t xml:space="preserve">• </w:t>
      </w:r>
      <w:r w:rsidRPr="00982CCB">
        <w:t>Tadmor, H., Weinfeld, M. (eds.) History, Historiography and Interpretation: studies in biblical and cuneiform literatures, Jerusalem, 1983</w:t>
      </w:r>
    </w:p>
    <w:p w:rsidR="000F0073" w:rsidRPr="00982CCB" w:rsidRDefault="000F0073" w:rsidP="000F0073">
      <w:r w:rsidRPr="00982CCB">
        <w:rPr>
          <w:iCs/>
        </w:rPr>
        <w:t xml:space="preserve">• </w:t>
      </w:r>
      <w:r w:rsidRPr="00982CCB">
        <w:t>Van Seters, J., In Search of History, New Haven, Connecticut, 1983</w:t>
      </w:r>
    </w:p>
    <w:p w:rsidR="000F0073" w:rsidRPr="00982CCB" w:rsidRDefault="000F0073" w:rsidP="000F0073"/>
    <w:p w:rsidR="000F0073" w:rsidRPr="00982CCB" w:rsidRDefault="000F0073" w:rsidP="000F0073"/>
    <w:p w:rsidR="000F0073" w:rsidRDefault="000F0073" w:rsidP="000F0073">
      <w:pPr>
        <w:spacing w:after="200" w:line="276" w:lineRule="auto"/>
        <w:rPr>
          <w:b/>
          <w:iCs/>
        </w:rPr>
      </w:pPr>
    </w:p>
    <w:sectPr w:rsidR="000F0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6C82"/>
    <w:multiLevelType w:val="hybridMultilevel"/>
    <w:tmpl w:val="446EBA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163472"/>
    <w:multiLevelType w:val="hybridMultilevel"/>
    <w:tmpl w:val="446EBA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007CCB"/>
    <w:multiLevelType w:val="hybridMultilevel"/>
    <w:tmpl w:val="446EBA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79"/>
    <w:rsid w:val="000C5834"/>
    <w:rsid w:val="000F0073"/>
    <w:rsid w:val="00257B0A"/>
    <w:rsid w:val="003361F1"/>
    <w:rsid w:val="00392ED3"/>
    <w:rsid w:val="005B0DE7"/>
    <w:rsid w:val="006944F4"/>
    <w:rsid w:val="00786998"/>
    <w:rsid w:val="007C1D66"/>
    <w:rsid w:val="0089499C"/>
    <w:rsid w:val="00982CCB"/>
    <w:rsid w:val="00A60B3C"/>
    <w:rsid w:val="00C61DDF"/>
    <w:rsid w:val="00D63A99"/>
    <w:rsid w:val="00DD714E"/>
    <w:rsid w:val="00E41779"/>
    <w:rsid w:val="00E5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1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0F00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e-I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keyvalue">
    <w:name w:val="keyvalue"/>
    <w:rsid w:val="00E41779"/>
  </w:style>
  <w:style w:type="paragraph" w:styleId="Szvegtrzs">
    <w:name w:val="Body Text"/>
    <w:basedOn w:val="Norml"/>
    <w:link w:val="SzvegtrzsChar"/>
    <w:rsid w:val="00E41779"/>
    <w:pPr>
      <w:jc w:val="both"/>
    </w:pPr>
    <w:rPr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rsid w:val="00E41779"/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F0073"/>
    <w:rPr>
      <w:rFonts w:ascii="Times New Roman" w:eastAsia="Times New Roman" w:hAnsi="Times New Roman" w:cs="Times New Roman"/>
      <w:b/>
      <w:bCs/>
      <w:kern w:val="36"/>
      <w:sz w:val="48"/>
      <w:szCs w:val="48"/>
      <w:lang w:eastAsia="hu-HU" w:bidi="he-IL"/>
    </w:rPr>
  </w:style>
  <w:style w:type="paragraph" w:styleId="Listaszerbekezds">
    <w:name w:val="List Paragraph"/>
    <w:basedOn w:val="Norml"/>
    <w:uiPriority w:val="34"/>
    <w:qFormat/>
    <w:rsid w:val="00894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1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0F00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e-I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keyvalue">
    <w:name w:val="keyvalue"/>
    <w:rsid w:val="00E41779"/>
  </w:style>
  <w:style w:type="paragraph" w:styleId="Szvegtrzs">
    <w:name w:val="Body Text"/>
    <w:basedOn w:val="Norml"/>
    <w:link w:val="SzvegtrzsChar"/>
    <w:rsid w:val="00E41779"/>
    <w:pPr>
      <w:jc w:val="both"/>
    </w:pPr>
    <w:rPr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rsid w:val="00E41779"/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F0073"/>
    <w:rPr>
      <w:rFonts w:ascii="Times New Roman" w:eastAsia="Times New Roman" w:hAnsi="Times New Roman" w:cs="Times New Roman"/>
      <w:b/>
      <w:bCs/>
      <w:kern w:val="36"/>
      <w:sz w:val="48"/>
      <w:szCs w:val="48"/>
      <w:lang w:eastAsia="hu-HU" w:bidi="he-IL"/>
    </w:rPr>
  </w:style>
  <w:style w:type="paragraph" w:styleId="Listaszerbekezds">
    <w:name w:val="List Paragraph"/>
    <w:basedOn w:val="Norml"/>
    <w:uiPriority w:val="34"/>
    <w:qFormat/>
    <w:rsid w:val="00894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• Harmatta János (szerk.), Ókori keleti történeti chrestomathia (sajtó alá rend.</vt:lpstr>
    </vt:vector>
  </TitlesOfParts>
  <Company>PPKE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Fröhlich Ida</dc:creator>
  <cp:lastModifiedBy>Kiss Kornélia</cp:lastModifiedBy>
  <cp:revision>2</cp:revision>
  <dcterms:created xsi:type="dcterms:W3CDTF">2014-09-26T07:07:00Z</dcterms:created>
  <dcterms:modified xsi:type="dcterms:W3CDTF">2014-09-26T07:07:00Z</dcterms:modified>
</cp:coreProperties>
</file>